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917"/>
        <w:gridCol w:w="4081"/>
        <w:gridCol w:w="1421"/>
        <w:gridCol w:w="1360"/>
        <w:gridCol w:w="371"/>
        <w:gridCol w:w="1360"/>
        <w:gridCol w:w="1362"/>
        <w:gridCol w:w="371"/>
        <w:gridCol w:w="1360"/>
        <w:gridCol w:w="1357"/>
      </w:tblGrid>
      <w:tr w:rsidR="007F4FAA" w:rsidRPr="007F4FAA" w:rsidTr="005C084B">
        <w:trPr>
          <w:trHeight w:val="288"/>
        </w:trPr>
        <w:tc>
          <w:tcPr>
            <w:tcW w:w="1790" w:type="pct"/>
            <w:gridSpan w:val="2"/>
            <w:tcBorders>
              <w:top w:val="nil"/>
              <w:left w:val="nil"/>
              <w:bottom w:val="nil"/>
              <w:right w:val="nil"/>
            </w:tcBorders>
            <w:shd w:val="clear" w:color="auto" w:fill="auto"/>
            <w:noWrap/>
            <w:vAlign w:val="bottom"/>
            <w:hideMark/>
          </w:tcPr>
          <w:p w:rsidR="007F4FAA" w:rsidRPr="007F4FAA" w:rsidRDefault="007F4FAA" w:rsidP="007F4FAA">
            <w:pPr>
              <w:rPr>
                <w:rFonts w:cs="Arial"/>
                <w:b/>
                <w:bCs/>
                <w:sz w:val="20"/>
                <w:u w:val="single"/>
              </w:rPr>
            </w:pPr>
            <w:r w:rsidRPr="007F4FAA">
              <w:rPr>
                <w:rFonts w:cs="Arial"/>
                <w:b/>
                <w:bCs/>
                <w:sz w:val="20"/>
                <w:u w:val="single"/>
              </w:rPr>
              <w:t>Lancashire County Pension Fund</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cs="Arial"/>
                <w:b/>
                <w:bCs/>
                <w:sz w:val="20"/>
                <w:u w:val="single"/>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u w:val="single"/>
              </w:rPr>
            </w:pPr>
            <w:r w:rsidRPr="007F4FAA">
              <w:rPr>
                <w:rFonts w:ascii="Calibri" w:hAnsi="Calibri"/>
                <w:b/>
                <w:bCs/>
                <w:color w:val="000000"/>
                <w:sz w:val="22"/>
                <w:szCs w:val="22"/>
                <w:u w:val="single"/>
              </w:rPr>
              <w:t>Appendix A</w:t>
            </w:r>
          </w:p>
        </w:tc>
      </w:tr>
      <w:tr w:rsidR="007F4FAA" w:rsidRPr="007F4FAA" w:rsidTr="005C084B">
        <w:trPr>
          <w:trHeight w:val="288"/>
        </w:trPr>
        <w:tc>
          <w:tcPr>
            <w:tcW w:w="1790" w:type="pct"/>
            <w:gridSpan w:val="2"/>
            <w:tcBorders>
              <w:top w:val="nil"/>
              <w:left w:val="nil"/>
              <w:bottom w:val="nil"/>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Revenue Account Forecast</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cs="Arial"/>
                <w:b/>
                <w:bCs/>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r>
      <w:tr w:rsidR="007F4FAA" w:rsidRPr="007F4FAA" w:rsidTr="005C084B">
        <w:trPr>
          <w:trHeight w:val="288"/>
        </w:trPr>
        <w:tc>
          <w:tcPr>
            <w:tcW w:w="328"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1461"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r>
      <w:tr w:rsidR="007F4FAA" w:rsidRPr="007F4FAA" w:rsidTr="005C084B">
        <w:trPr>
          <w:trHeight w:val="288"/>
        </w:trPr>
        <w:tc>
          <w:tcPr>
            <w:tcW w:w="179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Year Ended 31 March</w:t>
            </w:r>
          </w:p>
        </w:tc>
        <w:tc>
          <w:tcPr>
            <w:tcW w:w="996" w:type="pct"/>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rsidR="007F4FAA" w:rsidRPr="007F4FAA" w:rsidRDefault="007F4FAA" w:rsidP="007F4FAA">
            <w:pPr>
              <w:jc w:val="center"/>
              <w:rPr>
                <w:rFonts w:cs="Arial"/>
                <w:b/>
                <w:bCs/>
                <w:sz w:val="22"/>
                <w:szCs w:val="22"/>
                <w:u w:val="single"/>
              </w:rPr>
            </w:pPr>
            <w:r w:rsidRPr="007F4FAA">
              <w:rPr>
                <w:rFonts w:cs="Arial"/>
                <w:b/>
                <w:bCs/>
                <w:sz w:val="22"/>
                <w:szCs w:val="22"/>
                <w:u w:val="single"/>
              </w:rPr>
              <w:t>Actuals 13/14</w:t>
            </w:r>
          </w:p>
        </w:tc>
        <w:tc>
          <w:tcPr>
            <w:tcW w:w="133" w:type="pct"/>
            <w:tcBorders>
              <w:top w:val="single" w:sz="4" w:space="0" w:color="auto"/>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single" w:sz="4" w:space="0" w:color="auto"/>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single" w:sz="4" w:space="0" w:color="auto"/>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single" w:sz="4" w:space="0" w:color="auto"/>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single" w:sz="4" w:space="0" w:color="auto"/>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6" w:type="pct"/>
            <w:tcBorders>
              <w:top w:val="single" w:sz="4" w:space="0" w:color="auto"/>
              <w:left w:val="nil"/>
              <w:bottom w:val="nil"/>
              <w:right w:val="single" w:sz="4" w:space="0" w:color="auto"/>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996" w:type="pct"/>
            <w:gridSpan w:val="2"/>
            <w:vMerge/>
            <w:tcBorders>
              <w:top w:val="nil"/>
              <w:left w:val="nil"/>
              <w:bottom w:val="nil"/>
              <w:right w:val="single" w:sz="4" w:space="0" w:color="auto"/>
            </w:tcBorders>
            <w:vAlign w:val="center"/>
            <w:hideMark/>
          </w:tcPr>
          <w:p w:rsidR="007F4FAA" w:rsidRPr="007F4FAA" w:rsidRDefault="007F4FAA" w:rsidP="007F4FAA">
            <w:pPr>
              <w:rPr>
                <w:rFonts w:cs="Arial"/>
                <w:b/>
                <w:bCs/>
                <w:sz w:val="22"/>
                <w:szCs w:val="22"/>
                <w:u w:val="single"/>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975" w:type="pct"/>
            <w:gridSpan w:val="2"/>
            <w:tcBorders>
              <w:top w:val="nil"/>
              <w:left w:val="nil"/>
              <w:bottom w:val="nil"/>
              <w:right w:val="single" w:sz="4" w:space="0" w:color="000000"/>
            </w:tcBorders>
            <w:shd w:val="clear" w:color="auto" w:fill="auto"/>
            <w:noWrap/>
            <w:vAlign w:val="bottom"/>
            <w:hideMark/>
          </w:tcPr>
          <w:p w:rsidR="007F4FAA" w:rsidRPr="007F4FAA" w:rsidRDefault="007F4FAA" w:rsidP="007F4FAA">
            <w:pPr>
              <w:jc w:val="center"/>
              <w:rPr>
                <w:rFonts w:cs="Arial"/>
                <w:b/>
                <w:bCs/>
                <w:sz w:val="20"/>
                <w:u w:val="single"/>
              </w:rPr>
            </w:pPr>
            <w:r w:rsidRPr="007F4FAA">
              <w:rPr>
                <w:rFonts w:cs="Arial"/>
                <w:b/>
                <w:bCs/>
                <w:sz w:val="20"/>
                <w:u w:val="single"/>
              </w:rPr>
              <w:t>Forecast Outturn 14/15</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center"/>
              <w:rPr>
                <w:rFonts w:cs="Arial"/>
                <w:b/>
                <w:bCs/>
                <w:sz w:val="20"/>
                <w:u w:val="single"/>
              </w:rPr>
            </w:pPr>
          </w:p>
        </w:tc>
        <w:tc>
          <w:tcPr>
            <w:tcW w:w="974" w:type="pct"/>
            <w:gridSpan w:val="2"/>
            <w:tcBorders>
              <w:top w:val="nil"/>
              <w:left w:val="nil"/>
              <w:bottom w:val="nil"/>
              <w:right w:val="single" w:sz="4" w:space="0" w:color="000000"/>
            </w:tcBorders>
            <w:shd w:val="clear" w:color="auto" w:fill="auto"/>
            <w:noWrap/>
            <w:vAlign w:val="bottom"/>
            <w:hideMark/>
          </w:tcPr>
          <w:p w:rsidR="007F4FAA" w:rsidRPr="007F4FAA" w:rsidRDefault="007F4FAA" w:rsidP="007F4FAA">
            <w:pPr>
              <w:jc w:val="center"/>
              <w:rPr>
                <w:rFonts w:cs="Arial"/>
                <w:b/>
                <w:bCs/>
                <w:sz w:val="20"/>
                <w:u w:val="single"/>
              </w:rPr>
            </w:pPr>
            <w:r w:rsidRPr="007F4FAA">
              <w:rPr>
                <w:rFonts w:cs="Arial"/>
                <w:b/>
                <w:bCs/>
                <w:sz w:val="20"/>
                <w:u w:val="single"/>
              </w:rPr>
              <w:t>Forecast 15/16</w:t>
            </w:r>
          </w:p>
        </w:tc>
      </w:tr>
      <w:tr w:rsidR="007F4FAA" w:rsidRPr="007F4FAA" w:rsidTr="005C084B">
        <w:trPr>
          <w:trHeight w:val="288"/>
        </w:trPr>
        <w:tc>
          <w:tcPr>
            <w:tcW w:w="328" w:type="pct"/>
            <w:tcBorders>
              <w:top w:val="nil"/>
              <w:left w:val="single" w:sz="4" w:space="0" w:color="auto"/>
              <w:bottom w:val="single" w:sz="4" w:space="0" w:color="auto"/>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Income</w:t>
            </w:r>
          </w:p>
        </w:tc>
        <w:tc>
          <w:tcPr>
            <w:tcW w:w="1461"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509" w:type="pct"/>
            <w:tcBorders>
              <w:top w:val="nil"/>
              <w:left w:val="nil"/>
              <w:bottom w:val="single" w:sz="4" w:space="0" w:color="auto"/>
              <w:right w:val="nil"/>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487"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133"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487" w:type="pct"/>
            <w:tcBorders>
              <w:top w:val="nil"/>
              <w:left w:val="nil"/>
              <w:bottom w:val="single" w:sz="4" w:space="0" w:color="auto"/>
              <w:right w:val="nil"/>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487"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133"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487" w:type="pct"/>
            <w:tcBorders>
              <w:top w:val="nil"/>
              <w:left w:val="nil"/>
              <w:bottom w:val="single" w:sz="4" w:space="0" w:color="auto"/>
              <w:right w:val="nil"/>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486"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r>
      <w:tr w:rsidR="007F4FAA" w:rsidRPr="007F4FAA" w:rsidTr="005C084B">
        <w:trPr>
          <w:trHeight w:val="288"/>
        </w:trPr>
        <w:tc>
          <w:tcPr>
            <w:tcW w:w="1790"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Contributions Receivable</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1790"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From Employers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Lancashire County Council</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69.121</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59.977</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60.397</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District Councils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46.537</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29.919</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28.786</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Scheduled Bodies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31.012</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24.516</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24.500</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Admitted Bodies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13.330</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7.749</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7.703</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461426" w:rsidP="007F4FAA">
            <w:pPr>
              <w:rPr>
                <w:rFonts w:ascii="Calibri" w:hAnsi="Calibri"/>
                <w:color w:val="000000"/>
                <w:sz w:val="22"/>
                <w:szCs w:val="22"/>
              </w:rPr>
            </w:pPr>
            <w:r>
              <w:rPr>
                <w:rFonts w:ascii="Calibri" w:hAnsi="Calibri"/>
                <w:color w:val="000000"/>
                <w:sz w:val="22"/>
                <w:szCs w:val="22"/>
              </w:rPr>
              <w:t>Deficit Contrib</w:t>
            </w:r>
            <w:r w:rsidR="007F4FAA" w:rsidRPr="007F4FAA">
              <w:rPr>
                <w:rFonts w:ascii="Calibri" w:hAnsi="Calibri"/>
                <w:color w:val="000000"/>
                <w:sz w:val="22"/>
                <w:szCs w:val="22"/>
              </w:rPr>
              <w:t>u</w:t>
            </w:r>
            <w:r>
              <w:rPr>
                <w:rFonts w:ascii="Calibri" w:hAnsi="Calibri"/>
                <w:color w:val="000000"/>
                <w:sz w:val="22"/>
                <w:szCs w:val="22"/>
              </w:rPr>
              <w:t>t</w:t>
            </w:r>
            <w:r w:rsidR="007F4FAA" w:rsidRPr="007F4FAA">
              <w:rPr>
                <w:rFonts w:ascii="Calibri" w:hAnsi="Calibri"/>
                <w:color w:val="000000"/>
                <w:sz w:val="22"/>
                <w:szCs w:val="22"/>
              </w:rPr>
              <w:t>ions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xml:space="preserve">included in </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46.833</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45.212</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Pension Strain / augmented pension</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figures above</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12.544</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8.897</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160.000</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181.539</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175.496</w:t>
            </w:r>
          </w:p>
        </w:tc>
      </w:tr>
      <w:tr w:rsidR="007F4FAA" w:rsidRPr="007F4FAA" w:rsidTr="005C084B">
        <w:trPr>
          <w:trHeight w:val="288"/>
        </w:trPr>
        <w:tc>
          <w:tcPr>
            <w:tcW w:w="1790"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From Employees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Lancashire County Council</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22.164</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25.596</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25.596</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District Councils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14.597</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14.641</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14.641</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Scheduled Bodies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12.211</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12.984</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12.984</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Admitted Bodies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5.026</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3.689</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3.688</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53.997</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56.910</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56.908</w:t>
            </w:r>
          </w:p>
        </w:tc>
      </w:tr>
      <w:tr w:rsidR="007F4FAA" w:rsidRPr="007F4FAA" w:rsidTr="005C084B">
        <w:trPr>
          <w:trHeight w:val="288"/>
        </w:trPr>
        <w:tc>
          <w:tcPr>
            <w:tcW w:w="1790"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Transfers In</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Lancashire County Council</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2.048</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1.609</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1.828</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District Councils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2.202</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1.976</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2.089</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Scheduled Bodies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1.596</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1.103</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1.350</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Admitted Bodies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1.229</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0.880</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1.055</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Miscellaneous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0.000</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0.565</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0.282</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Net Transfers re AVC's</w:t>
            </w:r>
          </w:p>
        </w:tc>
        <w:tc>
          <w:tcPr>
            <w:tcW w:w="50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0.075</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0.126</w:t>
            </w:r>
          </w:p>
        </w:tc>
        <w:tc>
          <w:tcPr>
            <w:tcW w:w="487"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87"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0.101</w:t>
            </w:r>
          </w:p>
        </w:tc>
        <w:tc>
          <w:tcPr>
            <w:tcW w:w="486"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5C084B">
        <w:trPr>
          <w:trHeight w:val="288"/>
        </w:trPr>
        <w:tc>
          <w:tcPr>
            <w:tcW w:w="328" w:type="pct"/>
            <w:tcBorders>
              <w:top w:val="nil"/>
              <w:left w:val="single" w:sz="4" w:space="0" w:color="auto"/>
              <w:bottom w:val="single" w:sz="4" w:space="0" w:color="auto"/>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461"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509"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7.151</w:t>
            </w:r>
          </w:p>
        </w:tc>
        <w:tc>
          <w:tcPr>
            <w:tcW w:w="133"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6.259</w:t>
            </w:r>
          </w:p>
        </w:tc>
        <w:tc>
          <w:tcPr>
            <w:tcW w:w="133"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6.705</w:t>
            </w:r>
          </w:p>
        </w:tc>
      </w:tr>
    </w:tbl>
    <w:p w:rsidR="007F4FAA" w:rsidRDefault="007F4FAA">
      <w:pPr>
        <w:rPr>
          <w:rFonts w:cs="Arial"/>
        </w:rPr>
      </w:pPr>
    </w:p>
    <w:tbl>
      <w:tblPr>
        <w:tblW w:w="5000" w:type="pct"/>
        <w:tblLook w:val="04A0" w:firstRow="1" w:lastRow="0" w:firstColumn="1" w:lastColumn="0" w:noHBand="0" w:noVBand="1"/>
      </w:tblPr>
      <w:tblGrid>
        <w:gridCol w:w="917"/>
        <w:gridCol w:w="4089"/>
        <w:gridCol w:w="1253"/>
        <w:gridCol w:w="1481"/>
        <w:gridCol w:w="371"/>
        <w:gridCol w:w="1367"/>
        <w:gridCol w:w="1367"/>
        <w:gridCol w:w="371"/>
        <w:gridCol w:w="1367"/>
        <w:gridCol w:w="1367"/>
      </w:tblGrid>
      <w:tr w:rsidR="00461426" w:rsidRPr="00461426" w:rsidTr="00461426">
        <w:trPr>
          <w:trHeight w:val="288"/>
        </w:trPr>
        <w:tc>
          <w:tcPr>
            <w:tcW w:w="179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61426" w:rsidRPr="00461426" w:rsidRDefault="00461426" w:rsidP="00461426">
            <w:pPr>
              <w:rPr>
                <w:rFonts w:cs="Arial"/>
                <w:b/>
                <w:bCs/>
                <w:sz w:val="20"/>
              </w:rPr>
            </w:pPr>
            <w:r w:rsidRPr="00461426">
              <w:rPr>
                <w:rFonts w:cs="Arial"/>
                <w:b/>
                <w:bCs/>
                <w:sz w:val="20"/>
              </w:rPr>
              <w:lastRenderedPageBreak/>
              <w:t>Year Ended 31 March</w:t>
            </w:r>
          </w:p>
        </w:tc>
        <w:tc>
          <w:tcPr>
            <w:tcW w:w="980" w:type="pct"/>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rsidR="00461426" w:rsidRPr="00461426" w:rsidRDefault="00461426" w:rsidP="00461426">
            <w:pPr>
              <w:jc w:val="center"/>
              <w:rPr>
                <w:rFonts w:cs="Arial"/>
                <w:b/>
                <w:bCs/>
                <w:sz w:val="22"/>
                <w:szCs w:val="22"/>
                <w:u w:val="single"/>
              </w:rPr>
            </w:pPr>
            <w:r w:rsidRPr="00461426">
              <w:rPr>
                <w:rFonts w:cs="Arial"/>
                <w:b/>
                <w:bCs/>
                <w:sz w:val="22"/>
                <w:szCs w:val="22"/>
                <w:u w:val="single"/>
              </w:rPr>
              <w:t>Actuals 13/14</w:t>
            </w:r>
          </w:p>
        </w:tc>
        <w:tc>
          <w:tcPr>
            <w:tcW w:w="133" w:type="pct"/>
            <w:tcBorders>
              <w:top w:val="single" w:sz="4" w:space="0" w:color="auto"/>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single" w:sz="4" w:space="0" w:color="auto"/>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single" w:sz="4" w:space="0" w:color="auto"/>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single" w:sz="4" w:space="0" w:color="auto"/>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single" w:sz="4" w:space="0" w:color="auto"/>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single" w:sz="4" w:space="0" w:color="auto"/>
              <w:left w:val="nil"/>
              <w:bottom w:val="nil"/>
              <w:right w:val="single" w:sz="4" w:space="0" w:color="auto"/>
            </w:tcBorders>
            <w:shd w:val="clear" w:color="auto" w:fill="auto"/>
            <w:noWrap/>
            <w:vAlign w:val="bottom"/>
            <w:hideMark/>
          </w:tcPr>
          <w:p w:rsidR="00461426" w:rsidRPr="00461426" w:rsidRDefault="00461426" w:rsidP="00461426">
            <w:pPr>
              <w:jc w:val="center"/>
              <w:rPr>
                <w:rFonts w:cs="Arial"/>
                <w:b/>
                <w:bCs/>
                <w:sz w:val="20"/>
              </w:rPr>
            </w:pPr>
            <w:r w:rsidRPr="00461426">
              <w:rPr>
                <w:rFonts w:cs="Arial"/>
                <w:b/>
                <w:bCs/>
                <w:sz w:val="20"/>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cs="Arial"/>
                <w:b/>
                <w:bCs/>
                <w:sz w:val="20"/>
              </w:rPr>
            </w:pPr>
            <w:r w:rsidRPr="00461426">
              <w:rPr>
                <w:rFonts w:cs="Arial"/>
                <w:b/>
                <w:bCs/>
                <w:sz w:val="20"/>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cs="Arial"/>
                <w:b/>
                <w:bCs/>
                <w:sz w:val="20"/>
              </w:rPr>
            </w:pPr>
            <w:r w:rsidRPr="00461426">
              <w:rPr>
                <w:rFonts w:cs="Arial"/>
                <w:b/>
                <w:bCs/>
                <w:sz w:val="20"/>
              </w:rPr>
              <w:t> </w:t>
            </w:r>
          </w:p>
        </w:tc>
        <w:tc>
          <w:tcPr>
            <w:tcW w:w="980" w:type="pct"/>
            <w:gridSpan w:val="2"/>
            <w:vMerge/>
            <w:tcBorders>
              <w:top w:val="nil"/>
              <w:left w:val="nil"/>
              <w:bottom w:val="nil"/>
              <w:right w:val="single" w:sz="4" w:space="0" w:color="auto"/>
            </w:tcBorders>
            <w:vAlign w:val="center"/>
            <w:hideMark/>
          </w:tcPr>
          <w:p w:rsidR="00461426" w:rsidRPr="00461426" w:rsidRDefault="00461426" w:rsidP="00461426">
            <w:pPr>
              <w:rPr>
                <w:rFonts w:cs="Arial"/>
                <w:b/>
                <w:bCs/>
                <w:sz w:val="22"/>
                <w:szCs w:val="22"/>
                <w:u w:val="single"/>
              </w:rPr>
            </w:pP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cs="Arial"/>
                <w:b/>
                <w:bCs/>
                <w:sz w:val="20"/>
              </w:rPr>
            </w:pPr>
            <w:r w:rsidRPr="00461426">
              <w:rPr>
                <w:rFonts w:cs="Arial"/>
                <w:b/>
                <w:bCs/>
                <w:sz w:val="20"/>
              </w:rPr>
              <w:t> </w:t>
            </w:r>
          </w:p>
        </w:tc>
        <w:tc>
          <w:tcPr>
            <w:tcW w:w="980" w:type="pct"/>
            <w:gridSpan w:val="2"/>
            <w:tcBorders>
              <w:top w:val="nil"/>
              <w:left w:val="nil"/>
              <w:bottom w:val="nil"/>
              <w:right w:val="single" w:sz="4" w:space="0" w:color="000000"/>
            </w:tcBorders>
            <w:shd w:val="clear" w:color="auto" w:fill="auto"/>
            <w:noWrap/>
            <w:vAlign w:val="bottom"/>
            <w:hideMark/>
          </w:tcPr>
          <w:p w:rsidR="00461426" w:rsidRPr="00461426" w:rsidRDefault="00461426" w:rsidP="00461426">
            <w:pPr>
              <w:jc w:val="center"/>
              <w:rPr>
                <w:rFonts w:cs="Arial"/>
                <w:b/>
                <w:bCs/>
                <w:sz w:val="20"/>
                <w:u w:val="single"/>
              </w:rPr>
            </w:pPr>
            <w:r w:rsidRPr="00461426">
              <w:rPr>
                <w:rFonts w:cs="Arial"/>
                <w:b/>
                <w:bCs/>
                <w:sz w:val="20"/>
                <w:u w:val="single"/>
              </w:rPr>
              <w:t>Forecast Outturn 14/15</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jc w:val="center"/>
              <w:rPr>
                <w:rFonts w:cs="Arial"/>
                <w:b/>
                <w:bCs/>
                <w:sz w:val="20"/>
                <w:u w:val="single"/>
              </w:rPr>
            </w:pPr>
          </w:p>
        </w:tc>
        <w:tc>
          <w:tcPr>
            <w:tcW w:w="980" w:type="pct"/>
            <w:gridSpan w:val="2"/>
            <w:tcBorders>
              <w:top w:val="nil"/>
              <w:left w:val="nil"/>
              <w:bottom w:val="nil"/>
              <w:right w:val="single" w:sz="4" w:space="0" w:color="000000"/>
            </w:tcBorders>
            <w:shd w:val="clear" w:color="auto" w:fill="auto"/>
            <w:noWrap/>
            <w:vAlign w:val="bottom"/>
            <w:hideMark/>
          </w:tcPr>
          <w:p w:rsidR="00461426" w:rsidRPr="00461426" w:rsidRDefault="00461426" w:rsidP="00461426">
            <w:pPr>
              <w:jc w:val="center"/>
              <w:rPr>
                <w:rFonts w:cs="Arial"/>
                <w:b/>
                <w:bCs/>
                <w:sz w:val="20"/>
                <w:u w:val="single"/>
              </w:rPr>
            </w:pPr>
            <w:r w:rsidRPr="00461426">
              <w:rPr>
                <w:rFonts w:cs="Arial"/>
                <w:b/>
                <w:bCs/>
                <w:sz w:val="20"/>
                <w:u w:val="single"/>
              </w:rPr>
              <w:t>Forecast 15/16</w:t>
            </w:r>
          </w:p>
        </w:tc>
      </w:tr>
      <w:tr w:rsidR="00461426" w:rsidRPr="00461426" w:rsidTr="00461426">
        <w:trPr>
          <w:trHeight w:val="288"/>
        </w:trPr>
        <w:tc>
          <w:tcPr>
            <w:tcW w:w="328" w:type="pct"/>
            <w:tcBorders>
              <w:top w:val="nil"/>
              <w:left w:val="single" w:sz="4" w:space="0" w:color="auto"/>
              <w:bottom w:val="single" w:sz="4" w:space="0" w:color="auto"/>
              <w:right w:val="nil"/>
            </w:tcBorders>
            <w:shd w:val="clear" w:color="auto" w:fill="auto"/>
            <w:noWrap/>
            <w:vAlign w:val="bottom"/>
            <w:hideMark/>
          </w:tcPr>
          <w:p w:rsidR="00461426" w:rsidRPr="00461426" w:rsidRDefault="00461426" w:rsidP="00461426">
            <w:pPr>
              <w:rPr>
                <w:rFonts w:cs="Arial"/>
                <w:b/>
                <w:bCs/>
                <w:sz w:val="20"/>
              </w:rPr>
            </w:pPr>
            <w:r w:rsidRPr="00461426">
              <w:rPr>
                <w:rFonts w:cs="Arial"/>
                <w:b/>
                <w:bCs/>
                <w:sz w:val="20"/>
              </w:rPr>
              <w:t>Income</w:t>
            </w:r>
          </w:p>
        </w:tc>
        <w:tc>
          <w:tcPr>
            <w:tcW w:w="1465" w:type="pct"/>
            <w:tcBorders>
              <w:top w:val="nil"/>
              <w:left w:val="nil"/>
              <w:bottom w:val="single" w:sz="4" w:space="0" w:color="auto"/>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49" w:type="pct"/>
            <w:tcBorders>
              <w:top w:val="nil"/>
              <w:left w:val="nil"/>
              <w:bottom w:val="single" w:sz="4" w:space="0" w:color="auto"/>
              <w:right w:val="nil"/>
            </w:tcBorders>
            <w:shd w:val="clear" w:color="auto" w:fill="auto"/>
            <w:noWrap/>
            <w:vAlign w:val="bottom"/>
            <w:hideMark/>
          </w:tcPr>
          <w:p w:rsidR="00461426" w:rsidRPr="00461426" w:rsidRDefault="00461426" w:rsidP="00461426">
            <w:pPr>
              <w:jc w:val="center"/>
              <w:rPr>
                <w:rFonts w:cs="Arial"/>
                <w:b/>
                <w:bCs/>
                <w:sz w:val="20"/>
              </w:rPr>
            </w:pPr>
            <w:r w:rsidRPr="00461426">
              <w:rPr>
                <w:rFonts w:cs="Arial"/>
                <w:b/>
                <w:bCs/>
                <w:sz w:val="20"/>
              </w:rPr>
              <w:t>£m</w:t>
            </w:r>
          </w:p>
        </w:tc>
        <w:tc>
          <w:tcPr>
            <w:tcW w:w="531" w:type="pct"/>
            <w:tcBorders>
              <w:top w:val="nil"/>
              <w:left w:val="nil"/>
              <w:bottom w:val="single" w:sz="4" w:space="0" w:color="auto"/>
              <w:right w:val="single" w:sz="4" w:space="0" w:color="auto"/>
            </w:tcBorders>
            <w:shd w:val="clear" w:color="auto" w:fill="auto"/>
            <w:noWrap/>
            <w:vAlign w:val="bottom"/>
            <w:hideMark/>
          </w:tcPr>
          <w:p w:rsidR="00461426" w:rsidRPr="00461426" w:rsidRDefault="00461426" w:rsidP="00461426">
            <w:pPr>
              <w:jc w:val="center"/>
              <w:rPr>
                <w:rFonts w:cs="Arial"/>
                <w:b/>
                <w:bCs/>
                <w:sz w:val="20"/>
              </w:rPr>
            </w:pPr>
            <w:r w:rsidRPr="00461426">
              <w:rPr>
                <w:rFonts w:cs="Arial"/>
                <w:b/>
                <w:bCs/>
                <w:sz w:val="20"/>
              </w:rPr>
              <w:t>£m</w:t>
            </w:r>
          </w:p>
        </w:tc>
        <w:tc>
          <w:tcPr>
            <w:tcW w:w="133" w:type="pct"/>
            <w:tcBorders>
              <w:top w:val="nil"/>
              <w:left w:val="nil"/>
              <w:bottom w:val="single" w:sz="4" w:space="0" w:color="auto"/>
              <w:right w:val="nil"/>
            </w:tcBorders>
            <w:shd w:val="clear" w:color="auto" w:fill="auto"/>
            <w:noWrap/>
            <w:vAlign w:val="bottom"/>
            <w:hideMark/>
          </w:tcPr>
          <w:p w:rsidR="00461426" w:rsidRPr="00461426" w:rsidRDefault="00461426" w:rsidP="00461426">
            <w:pPr>
              <w:rPr>
                <w:rFonts w:cs="Arial"/>
                <w:b/>
                <w:bCs/>
                <w:sz w:val="20"/>
              </w:rPr>
            </w:pPr>
            <w:r w:rsidRPr="00461426">
              <w:rPr>
                <w:rFonts w:cs="Arial"/>
                <w:b/>
                <w:bCs/>
                <w:sz w:val="20"/>
              </w:rPr>
              <w:t> </w:t>
            </w:r>
          </w:p>
        </w:tc>
        <w:tc>
          <w:tcPr>
            <w:tcW w:w="490" w:type="pct"/>
            <w:tcBorders>
              <w:top w:val="nil"/>
              <w:left w:val="nil"/>
              <w:bottom w:val="single" w:sz="4" w:space="0" w:color="auto"/>
              <w:right w:val="nil"/>
            </w:tcBorders>
            <w:shd w:val="clear" w:color="auto" w:fill="auto"/>
            <w:noWrap/>
            <w:vAlign w:val="bottom"/>
            <w:hideMark/>
          </w:tcPr>
          <w:p w:rsidR="00461426" w:rsidRPr="00461426" w:rsidRDefault="00461426" w:rsidP="00461426">
            <w:pPr>
              <w:jc w:val="center"/>
              <w:rPr>
                <w:rFonts w:cs="Arial"/>
                <w:b/>
                <w:bCs/>
                <w:sz w:val="20"/>
              </w:rPr>
            </w:pPr>
            <w:r w:rsidRPr="00461426">
              <w:rPr>
                <w:rFonts w:cs="Arial"/>
                <w:b/>
                <w:bCs/>
                <w:sz w:val="20"/>
              </w:rPr>
              <w:t>£m</w:t>
            </w:r>
          </w:p>
        </w:tc>
        <w:tc>
          <w:tcPr>
            <w:tcW w:w="490" w:type="pct"/>
            <w:tcBorders>
              <w:top w:val="nil"/>
              <w:left w:val="nil"/>
              <w:bottom w:val="single" w:sz="4" w:space="0" w:color="auto"/>
              <w:right w:val="single" w:sz="4" w:space="0" w:color="auto"/>
            </w:tcBorders>
            <w:shd w:val="clear" w:color="auto" w:fill="auto"/>
            <w:noWrap/>
            <w:vAlign w:val="bottom"/>
            <w:hideMark/>
          </w:tcPr>
          <w:p w:rsidR="00461426" w:rsidRPr="00461426" w:rsidRDefault="00461426" w:rsidP="00461426">
            <w:pPr>
              <w:jc w:val="center"/>
              <w:rPr>
                <w:rFonts w:cs="Arial"/>
                <w:b/>
                <w:bCs/>
                <w:sz w:val="20"/>
              </w:rPr>
            </w:pPr>
            <w:r w:rsidRPr="00461426">
              <w:rPr>
                <w:rFonts w:cs="Arial"/>
                <w:b/>
                <w:bCs/>
                <w:sz w:val="20"/>
              </w:rPr>
              <w:t>£m</w:t>
            </w:r>
          </w:p>
        </w:tc>
        <w:tc>
          <w:tcPr>
            <w:tcW w:w="133" w:type="pct"/>
            <w:tcBorders>
              <w:top w:val="nil"/>
              <w:left w:val="nil"/>
              <w:bottom w:val="single" w:sz="4" w:space="0" w:color="auto"/>
              <w:right w:val="nil"/>
            </w:tcBorders>
            <w:shd w:val="clear" w:color="auto" w:fill="auto"/>
            <w:noWrap/>
            <w:vAlign w:val="bottom"/>
            <w:hideMark/>
          </w:tcPr>
          <w:p w:rsidR="00461426" w:rsidRPr="00461426" w:rsidRDefault="00461426" w:rsidP="00461426">
            <w:pPr>
              <w:rPr>
                <w:rFonts w:cs="Arial"/>
                <w:b/>
                <w:bCs/>
                <w:sz w:val="20"/>
              </w:rPr>
            </w:pPr>
            <w:r w:rsidRPr="00461426">
              <w:rPr>
                <w:rFonts w:cs="Arial"/>
                <w:b/>
                <w:bCs/>
                <w:sz w:val="20"/>
              </w:rPr>
              <w:t> </w:t>
            </w:r>
          </w:p>
        </w:tc>
        <w:tc>
          <w:tcPr>
            <w:tcW w:w="490" w:type="pct"/>
            <w:tcBorders>
              <w:top w:val="nil"/>
              <w:left w:val="nil"/>
              <w:bottom w:val="single" w:sz="4" w:space="0" w:color="auto"/>
              <w:right w:val="nil"/>
            </w:tcBorders>
            <w:shd w:val="clear" w:color="auto" w:fill="auto"/>
            <w:noWrap/>
            <w:vAlign w:val="bottom"/>
            <w:hideMark/>
          </w:tcPr>
          <w:p w:rsidR="00461426" w:rsidRPr="00461426" w:rsidRDefault="00461426" w:rsidP="00461426">
            <w:pPr>
              <w:jc w:val="center"/>
              <w:rPr>
                <w:rFonts w:cs="Arial"/>
                <w:b/>
                <w:bCs/>
                <w:sz w:val="20"/>
              </w:rPr>
            </w:pPr>
            <w:r w:rsidRPr="00461426">
              <w:rPr>
                <w:rFonts w:cs="Arial"/>
                <w:b/>
                <w:bCs/>
                <w:sz w:val="20"/>
              </w:rPr>
              <w:t>£m</w:t>
            </w:r>
          </w:p>
        </w:tc>
        <w:tc>
          <w:tcPr>
            <w:tcW w:w="490" w:type="pct"/>
            <w:tcBorders>
              <w:top w:val="nil"/>
              <w:left w:val="nil"/>
              <w:bottom w:val="single" w:sz="4" w:space="0" w:color="auto"/>
              <w:right w:val="single" w:sz="4" w:space="0" w:color="auto"/>
            </w:tcBorders>
            <w:shd w:val="clear" w:color="auto" w:fill="auto"/>
            <w:noWrap/>
            <w:vAlign w:val="bottom"/>
            <w:hideMark/>
          </w:tcPr>
          <w:p w:rsidR="00461426" w:rsidRPr="00461426" w:rsidRDefault="00461426" w:rsidP="00461426">
            <w:pPr>
              <w:jc w:val="center"/>
              <w:rPr>
                <w:rFonts w:cs="Arial"/>
                <w:b/>
                <w:bCs/>
                <w:sz w:val="20"/>
              </w:rPr>
            </w:pPr>
            <w:r w:rsidRPr="00461426">
              <w:rPr>
                <w:rFonts w:cs="Arial"/>
                <w:b/>
                <w:bCs/>
                <w:sz w:val="20"/>
              </w:rPr>
              <w:t>£m</w:t>
            </w:r>
          </w:p>
        </w:tc>
      </w:tr>
      <w:tr w:rsidR="00461426" w:rsidRPr="00461426" w:rsidTr="00461426">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Investment Income</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cs="Arial"/>
                <w:sz w:val="20"/>
              </w:rPr>
            </w:pPr>
            <w:r w:rsidRPr="00461426">
              <w:rPr>
                <w:rFonts w:cs="Arial"/>
                <w:sz w:val="20"/>
              </w:rPr>
              <w:t>Fixed Interest UK &amp; O/S</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34.746</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6.875</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15.361</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Equities UK &amp; O/S</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33.850</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46.022</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37.560</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Index Linked UK &amp; O/S</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1.637</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0.060</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0.000</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Property Rent</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23.498</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25.210</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33.050</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Pooled Investment Vehicles</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12.114</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15.106</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23.100</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xml:space="preserve">Cash Instruments </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-2.172</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-2.172</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6.983</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xml:space="preserve">Interest                                   </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3.164</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2.214</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2.214</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Other</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2.354</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2.318</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3.325</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xml:space="preserve">Miscellaneous Income </w:t>
            </w:r>
            <w:proofErr w:type="spellStart"/>
            <w:r w:rsidRPr="00461426">
              <w:rPr>
                <w:rFonts w:ascii="Calibri" w:hAnsi="Calibri"/>
                <w:color w:val="000000"/>
                <w:sz w:val="22"/>
                <w:szCs w:val="22"/>
              </w:rPr>
              <w:t>incl</w:t>
            </w:r>
            <w:proofErr w:type="spellEnd"/>
            <w:r w:rsidRPr="00461426">
              <w:rPr>
                <w:rFonts w:ascii="Calibri" w:hAnsi="Calibri"/>
                <w:color w:val="000000"/>
                <w:sz w:val="22"/>
                <w:szCs w:val="22"/>
              </w:rPr>
              <w:t xml:space="preserve"> Accruals</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-3.880</w:t>
            </w:r>
          </w:p>
        </w:tc>
        <w:tc>
          <w:tcPr>
            <w:tcW w:w="531"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-3.458</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color w:val="000000"/>
                <w:sz w:val="22"/>
                <w:szCs w:val="22"/>
              </w:rPr>
            </w:pPr>
            <w:r w:rsidRPr="00461426">
              <w:rPr>
                <w:rFonts w:ascii="Calibri" w:hAnsi="Calibri"/>
                <w:color w:val="000000"/>
                <w:sz w:val="22"/>
                <w:szCs w:val="22"/>
              </w:rPr>
              <w:t>-3.487</w:t>
            </w:r>
          </w:p>
        </w:tc>
        <w:tc>
          <w:tcPr>
            <w:tcW w:w="490"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328" w:type="pct"/>
            <w:tcBorders>
              <w:top w:val="nil"/>
              <w:left w:val="single" w:sz="4" w:space="0" w:color="auto"/>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465" w:type="pct"/>
            <w:tcBorders>
              <w:top w:val="nil"/>
              <w:left w:val="nil"/>
              <w:bottom w:val="nil"/>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531" w:type="pct"/>
            <w:tcBorders>
              <w:top w:val="nil"/>
              <w:left w:val="nil"/>
              <w:bottom w:val="nil"/>
              <w:right w:val="single" w:sz="4" w:space="0" w:color="auto"/>
            </w:tcBorders>
            <w:shd w:val="clear" w:color="auto" w:fill="auto"/>
            <w:noWrap/>
            <w:vAlign w:val="bottom"/>
            <w:hideMark/>
          </w:tcPr>
          <w:p w:rsidR="00461426" w:rsidRPr="00461426" w:rsidRDefault="00C96CF9" w:rsidP="00461426">
            <w:pPr>
              <w:rPr>
                <w:rFonts w:ascii="Calibri" w:hAnsi="Calibri"/>
                <w:color w:val="000000"/>
                <w:sz w:val="22"/>
                <w:szCs w:val="22"/>
              </w:rPr>
            </w:pPr>
            <w:r>
              <w:rPr>
                <w:rFonts w:ascii="Calibri" w:hAnsi="Calibri"/>
                <w:color w:val="000000"/>
                <w:sz w:val="22"/>
                <w:szCs w:val="22"/>
              </w:rPr>
              <w:t>105.311</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461426" w:rsidRPr="00461426" w:rsidRDefault="00C96CF9" w:rsidP="00461426">
            <w:pPr>
              <w:rPr>
                <w:rFonts w:ascii="Calibri" w:hAnsi="Calibri"/>
                <w:color w:val="000000"/>
                <w:sz w:val="22"/>
                <w:szCs w:val="22"/>
              </w:rPr>
            </w:pPr>
            <w:r>
              <w:rPr>
                <w:rFonts w:ascii="Calibri" w:hAnsi="Calibri"/>
                <w:color w:val="000000"/>
                <w:sz w:val="22"/>
                <w:szCs w:val="22"/>
              </w:rPr>
              <w:t>92.175</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461426" w:rsidRPr="00461426" w:rsidRDefault="00C96CF9" w:rsidP="00461426">
            <w:pPr>
              <w:rPr>
                <w:rFonts w:ascii="Calibri" w:hAnsi="Calibri"/>
                <w:color w:val="000000"/>
                <w:sz w:val="22"/>
                <w:szCs w:val="22"/>
              </w:rPr>
            </w:pPr>
            <w:r>
              <w:rPr>
                <w:rFonts w:ascii="Calibri" w:hAnsi="Calibri"/>
                <w:color w:val="000000"/>
                <w:sz w:val="22"/>
                <w:szCs w:val="22"/>
              </w:rPr>
              <w:t>118.107</w:t>
            </w:r>
          </w:p>
        </w:tc>
      </w:tr>
      <w:tr w:rsidR="00461426" w:rsidRPr="00461426" w:rsidTr="00461426">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461426" w:rsidRPr="00461426" w:rsidRDefault="00461426" w:rsidP="00461426">
            <w:pPr>
              <w:rPr>
                <w:rFonts w:ascii="Calibri" w:hAnsi="Calibri"/>
                <w:b/>
                <w:bCs/>
                <w:color w:val="000000"/>
                <w:sz w:val="22"/>
                <w:szCs w:val="22"/>
              </w:rPr>
            </w:pPr>
            <w:r w:rsidRPr="00461426">
              <w:rPr>
                <w:rFonts w:ascii="Calibri" w:hAnsi="Calibri"/>
                <w:b/>
                <w:bCs/>
                <w:color w:val="000000"/>
                <w:sz w:val="22"/>
                <w:szCs w:val="22"/>
              </w:rPr>
              <w:t>TOTAL INCOME</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b/>
                <w:bCs/>
                <w:color w:val="000000"/>
                <w:sz w:val="22"/>
                <w:szCs w:val="22"/>
              </w:rPr>
            </w:pPr>
            <w:r w:rsidRPr="00461426">
              <w:rPr>
                <w:rFonts w:ascii="Calibri" w:hAnsi="Calibri"/>
                <w:b/>
                <w:bCs/>
                <w:color w:val="000000"/>
                <w:sz w:val="22"/>
                <w:szCs w:val="22"/>
              </w:rPr>
              <w:t> </w:t>
            </w:r>
          </w:p>
        </w:tc>
        <w:tc>
          <w:tcPr>
            <w:tcW w:w="531" w:type="pct"/>
            <w:tcBorders>
              <w:top w:val="nil"/>
              <w:left w:val="nil"/>
              <w:bottom w:val="nil"/>
              <w:right w:val="single" w:sz="4" w:space="0" w:color="auto"/>
            </w:tcBorders>
            <w:shd w:val="clear" w:color="auto" w:fill="auto"/>
            <w:noWrap/>
            <w:vAlign w:val="bottom"/>
            <w:hideMark/>
          </w:tcPr>
          <w:p w:rsidR="00461426" w:rsidRPr="00461426" w:rsidRDefault="00C96CF9" w:rsidP="003658DC">
            <w:pPr>
              <w:jc w:val="center"/>
              <w:rPr>
                <w:rFonts w:ascii="Calibri" w:hAnsi="Calibri"/>
                <w:b/>
                <w:bCs/>
                <w:color w:val="000000"/>
                <w:sz w:val="22"/>
                <w:szCs w:val="22"/>
              </w:rPr>
            </w:pPr>
            <w:r>
              <w:rPr>
                <w:rFonts w:ascii="Calibri" w:hAnsi="Calibri"/>
                <w:b/>
                <w:bCs/>
                <w:color w:val="000000"/>
                <w:sz w:val="22"/>
                <w:szCs w:val="22"/>
              </w:rPr>
              <w:t>326.460</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b/>
                <w:bCs/>
                <w:color w:val="000000"/>
                <w:sz w:val="22"/>
                <w:szCs w:val="22"/>
              </w:rPr>
            </w:pPr>
            <w:r w:rsidRPr="00461426">
              <w:rPr>
                <w:rFonts w:ascii="Calibri" w:hAnsi="Calibri"/>
                <w:b/>
                <w:bCs/>
                <w:color w:val="000000"/>
                <w:sz w:val="22"/>
                <w:szCs w:val="22"/>
              </w:rPr>
              <w:t> </w:t>
            </w: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b/>
                <w:bCs/>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461426" w:rsidRPr="00461426" w:rsidRDefault="00C96CF9" w:rsidP="00461426">
            <w:pPr>
              <w:jc w:val="right"/>
              <w:rPr>
                <w:rFonts w:ascii="Calibri" w:hAnsi="Calibri"/>
                <w:b/>
                <w:bCs/>
                <w:color w:val="000000"/>
                <w:sz w:val="22"/>
                <w:szCs w:val="22"/>
              </w:rPr>
            </w:pPr>
            <w:r>
              <w:rPr>
                <w:rFonts w:ascii="Calibri" w:hAnsi="Calibri"/>
                <w:b/>
                <w:bCs/>
                <w:color w:val="000000"/>
                <w:sz w:val="22"/>
                <w:szCs w:val="22"/>
              </w:rPr>
              <w:t>336.883</w:t>
            </w:r>
          </w:p>
        </w:tc>
        <w:tc>
          <w:tcPr>
            <w:tcW w:w="133" w:type="pct"/>
            <w:tcBorders>
              <w:top w:val="nil"/>
              <w:left w:val="nil"/>
              <w:bottom w:val="nil"/>
              <w:right w:val="nil"/>
            </w:tcBorders>
            <w:shd w:val="clear" w:color="auto" w:fill="auto"/>
            <w:noWrap/>
            <w:vAlign w:val="bottom"/>
            <w:hideMark/>
          </w:tcPr>
          <w:p w:rsidR="00461426" w:rsidRPr="00461426" w:rsidRDefault="00461426" w:rsidP="00461426">
            <w:pPr>
              <w:jc w:val="right"/>
              <w:rPr>
                <w:rFonts w:ascii="Calibri" w:hAnsi="Calibri"/>
                <w:b/>
                <w:bCs/>
                <w:color w:val="000000"/>
                <w:sz w:val="22"/>
                <w:szCs w:val="22"/>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461426" w:rsidRPr="00461426" w:rsidRDefault="00C96CF9" w:rsidP="003658DC">
            <w:pPr>
              <w:jc w:val="center"/>
              <w:rPr>
                <w:rFonts w:ascii="Calibri" w:hAnsi="Calibri"/>
                <w:b/>
                <w:bCs/>
                <w:color w:val="000000"/>
                <w:sz w:val="22"/>
                <w:szCs w:val="22"/>
              </w:rPr>
            </w:pPr>
            <w:r>
              <w:rPr>
                <w:rFonts w:ascii="Calibri" w:hAnsi="Calibri"/>
                <w:b/>
                <w:bCs/>
                <w:color w:val="000000"/>
                <w:sz w:val="22"/>
                <w:szCs w:val="22"/>
              </w:rPr>
              <w:t>357.216</w:t>
            </w:r>
          </w:p>
        </w:tc>
      </w:tr>
      <w:tr w:rsidR="00461426" w:rsidRPr="00461426" w:rsidTr="00461426">
        <w:trPr>
          <w:trHeight w:val="288"/>
        </w:trPr>
        <w:tc>
          <w:tcPr>
            <w:tcW w:w="328" w:type="pct"/>
            <w:tcBorders>
              <w:top w:val="nil"/>
              <w:left w:val="single" w:sz="4" w:space="0" w:color="auto"/>
              <w:bottom w:val="single" w:sz="4" w:space="0" w:color="auto"/>
              <w:right w:val="nil"/>
            </w:tcBorders>
            <w:shd w:val="clear" w:color="auto" w:fill="auto"/>
            <w:noWrap/>
            <w:vAlign w:val="bottom"/>
            <w:hideMark/>
          </w:tcPr>
          <w:p w:rsidR="00461426" w:rsidRPr="00461426" w:rsidRDefault="00461426" w:rsidP="00461426">
            <w:pPr>
              <w:rPr>
                <w:rFonts w:cs="Arial"/>
                <w:b/>
                <w:bCs/>
                <w:sz w:val="20"/>
              </w:rPr>
            </w:pPr>
            <w:r w:rsidRPr="00461426">
              <w:rPr>
                <w:rFonts w:cs="Arial"/>
                <w:b/>
                <w:bCs/>
                <w:sz w:val="20"/>
              </w:rPr>
              <w:t> </w:t>
            </w:r>
          </w:p>
        </w:tc>
        <w:tc>
          <w:tcPr>
            <w:tcW w:w="1465" w:type="pct"/>
            <w:tcBorders>
              <w:top w:val="nil"/>
              <w:left w:val="nil"/>
              <w:bottom w:val="single" w:sz="4" w:space="0" w:color="auto"/>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49" w:type="pct"/>
            <w:tcBorders>
              <w:top w:val="nil"/>
              <w:left w:val="nil"/>
              <w:bottom w:val="single" w:sz="4" w:space="0" w:color="auto"/>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531" w:type="pct"/>
            <w:tcBorders>
              <w:top w:val="nil"/>
              <w:left w:val="nil"/>
              <w:bottom w:val="single" w:sz="4" w:space="0" w:color="auto"/>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single" w:sz="4" w:space="0" w:color="auto"/>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single" w:sz="4" w:space="0" w:color="auto"/>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single" w:sz="4" w:space="0" w:color="auto"/>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133" w:type="pct"/>
            <w:tcBorders>
              <w:top w:val="nil"/>
              <w:left w:val="nil"/>
              <w:bottom w:val="single" w:sz="4" w:space="0" w:color="auto"/>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single" w:sz="4" w:space="0" w:color="auto"/>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c>
          <w:tcPr>
            <w:tcW w:w="490" w:type="pct"/>
            <w:tcBorders>
              <w:top w:val="nil"/>
              <w:left w:val="nil"/>
              <w:bottom w:val="single" w:sz="4" w:space="0" w:color="auto"/>
              <w:right w:val="single" w:sz="4" w:space="0" w:color="auto"/>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 </w:t>
            </w:r>
          </w:p>
        </w:tc>
      </w:tr>
      <w:tr w:rsidR="00461426" w:rsidRPr="00461426" w:rsidTr="00461426">
        <w:trPr>
          <w:trHeight w:val="288"/>
        </w:trPr>
        <w:tc>
          <w:tcPr>
            <w:tcW w:w="1794" w:type="pct"/>
            <w:gridSpan w:val="2"/>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r w:rsidRPr="00461426">
              <w:rPr>
                <w:rFonts w:ascii="Calibri" w:hAnsi="Calibri"/>
                <w:color w:val="000000"/>
                <w:sz w:val="22"/>
                <w:szCs w:val="22"/>
              </w:rPr>
              <w:t>Note totals may not agree due to rounding</w:t>
            </w:r>
          </w:p>
        </w:tc>
        <w:tc>
          <w:tcPr>
            <w:tcW w:w="449" w:type="pct"/>
            <w:tcBorders>
              <w:top w:val="nil"/>
              <w:left w:val="nil"/>
              <w:bottom w:val="nil"/>
              <w:right w:val="nil"/>
            </w:tcBorders>
            <w:shd w:val="clear" w:color="auto" w:fill="auto"/>
            <w:noWrap/>
            <w:vAlign w:val="bottom"/>
            <w:hideMark/>
          </w:tcPr>
          <w:p w:rsidR="00461426" w:rsidRPr="00461426" w:rsidRDefault="00461426" w:rsidP="00461426">
            <w:pPr>
              <w:rPr>
                <w:rFonts w:ascii="Calibri" w:hAnsi="Calibri"/>
                <w:color w:val="000000"/>
                <w:sz w:val="22"/>
                <w:szCs w:val="22"/>
              </w:rPr>
            </w:pPr>
          </w:p>
        </w:tc>
        <w:tc>
          <w:tcPr>
            <w:tcW w:w="531"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c>
          <w:tcPr>
            <w:tcW w:w="490" w:type="pct"/>
            <w:tcBorders>
              <w:top w:val="nil"/>
              <w:left w:val="nil"/>
              <w:bottom w:val="nil"/>
              <w:right w:val="nil"/>
            </w:tcBorders>
            <w:shd w:val="clear" w:color="auto" w:fill="auto"/>
            <w:noWrap/>
            <w:vAlign w:val="bottom"/>
            <w:hideMark/>
          </w:tcPr>
          <w:p w:rsidR="00461426" w:rsidRPr="00461426" w:rsidRDefault="00461426" w:rsidP="00461426">
            <w:pPr>
              <w:rPr>
                <w:rFonts w:ascii="Times New Roman" w:hAnsi="Times New Roman"/>
                <w:sz w:val="20"/>
              </w:rPr>
            </w:pPr>
          </w:p>
        </w:tc>
      </w:tr>
    </w:tbl>
    <w:p w:rsidR="007F4FAA" w:rsidRDefault="007F4FAA">
      <w:pPr>
        <w:rPr>
          <w:rFonts w:cs="Arial"/>
        </w:rPr>
      </w:pPr>
      <w:r>
        <w:rPr>
          <w:rFonts w:cs="Arial"/>
        </w:rPr>
        <w:br w:type="page"/>
      </w:r>
    </w:p>
    <w:tbl>
      <w:tblPr>
        <w:tblW w:w="5000" w:type="pct"/>
        <w:tblLook w:val="04A0" w:firstRow="1" w:lastRow="0" w:firstColumn="1" w:lastColumn="0" w:noHBand="0" w:noVBand="1"/>
      </w:tblPr>
      <w:tblGrid>
        <w:gridCol w:w="1267"/>
        <w:gridCol w:w="3739"/>
        <w:gridCol w:w="1364"/>
        <w:gridCol w:w="1370"/>
        <w:gridCol w:w="371"/>
        <w:gridCol w:w="1367"/>
        <w:gridCol w:w="1367"/>
        <w:gridCol w:w="371"/>
        <w:gridCol w:w="1367"/>
        <w:gridCol w:w="1367"/>
      </w:tblGrid>
      <w:tr w:rsidR="007F4FAA" w:rsidRPr="007F4FAA" w:rsidTr="007F4FAA">
        <w:trPr>
          <w:trHeight w:val="288"/>
        </w:trPr>
        <w:tc>
          <w:tcPr>
            <w:tcW w:w="179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lastRenderedPageBreak/>
              <w:t>Year Ended 31 March</w:t>
            </w:r>
          </w:p>
        </w:tc>
        <w:tc>
          <w:tcPr>
            <w:tcW w:w="980" w:type="pct"/>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rsidR="007F4FAA" w:rsidRPr="007F4FAA" w:rsidRDefault="007F4FAA" w:rsidP="007F4FAA">
            <w:pPr>
              <w:jc w:val="center"/>
              <w:rPr>
                <w:rFonts w:cs="Arial"/>
                <w:b/>
                <w:bCs/>
                <w:sz w:val="22"/>
                <w:szCs w:val="22"/>
                <w:u w:val="single"/>
              </w:rPr>
            </w:pPr>
            <w:r w:rsidRPr="007F4FAA">
              <w:rPr>
                <w:rFonts w:cs="Arial"/>
                <w:b/>
                <w:bCs/>
                <w:sz w:val="22"/>
                <w:szCs w:val="22"/>
                <w:u w:val="single"/>
              </w:rPr>
              <w:t>Actuals 13/14</w:t>
            </w:r>
          </w:p>
        </w:tc>
        <w:tc>
          <w:tcPr>
            <w:tcW w:w="133" w:type="pct"/>
            <w:tcBorders>
              <w:top w:val="single" w:sz="4" w:space="0" w:color="auto"/>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single" w:sz="4" w:space="0" w:color="auto"/>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single" w:sz="4" w:space="0" w:color="auto"/>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single" w:sz="4" w:space="0" w:color="auto"/>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single" w:sz="4" w:space="0" w:color="auto"/>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single" w:sz="4" w:space="0" w:color="auto"/>
              <w:left w:val="nil"/>
              <w:bottom w:val="nil"/>
              <w:right w:val="single" w:sz="4" w:space="0" w:color="auto"/>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980" w:type="pct"/>
            <w:gridSpan w:val="2"/>
            <w:vMerge/>
            <w:tcBorders>
              <w:top w:val="nil"/>
              <w:left w:val="nil"/>
              <w:bottom w:val="nil"/>
              <w:right w:val="single" w:sz="4" w:space="0" w:color="auto"/>
            </w:tcBorders>
            <w:vAlign w:val="center"/>
            <w:hideMark/>
          </w:tcPr>
          <w:p w:rsidR="007F4FAA" w:rsidRPr="007F4FAA" w:rsidRDefault="007F4FAA" w:rsidP="007F4FAA">
            <w:pPr>
              <w:rPr>
                <w:rFonts w:cs="Arial"/>
                <w:b/>
                <w:bCs/>
                <w:sz w:val="22"/>
                <w:szCs w:val="22"/>
                <w:u w:val="single"/>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980" w:type="pct"/>
            <w:gridSpan w:val="2"/>
            <w:tcBorders>
              <w:top w:val="nil"/>
              <w:left w:val="nil"/>
              <w:bottom w:val="nil"/>
              <w:right w:val="single" w:sz="4" w:space="0" w:color="000000"/>
            </w:tcBorders>
            <w:shd w:val="clear" w:color="auto" w:fill="auto"/>
            <w:noWrap/>
            <w:vAlign w:val="bottom"/>
            <w:hideMark/>
          </w:tcPr>
          <w:p w:rsidR="007F4FAA" w:rsidRPr="007F4FAA" w:rsidRDefault="007F4FAA" w:rsidP="007F4FAA">
            <w:pPr>
              <w:jc w:val="center"/>
              <w:rPr>
                <w:rFonts w:cs="Arial"/>
                <w:b/>
                <w:bCs/>
                <w:sz w:val="20"/>
                <w:u w:val="single"/>
              </w:rPr>
            </w:pPr>
            <w:r w:rsidRPr="007F4FAA">
              <w:rPr>
                <w:rFonts w:cs="Arial"/>
                <w:b/>
                <w:bCs/>
                <w:sz w:val="20"/>
                <w:u w:val="single"/>
              </w:rPr>
              <w:t>Forecast Outturn 14/15</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center"/>
              <w:rPr>
                <w:rFonts w:cs="Arial"/>
                <w:b/>
                <w:bCs/>
                <w:sz w:val="20"/>
                <w:u w:val="single"/>
              </w:rPr>
            </w:pPr>
          </w:p>
        </w:tc>
        <w:tc>
          <w:tcPr>
            <w:tcW w:w="980" w:type="pct"/>
            <w:gridSpan w:val="2"/>
            <w:tcBorders>
              <w:top w:val="nil"/>
              <w:left w:val="nil"/>
              <w:bottom w:val="nil"/>
              <w:right w:val="single" w:sz="4" w:space="0" w:color="000000"/>
            </w:tcBorders>
            <w:shd w:val="clear" w:color="auto" w:fill="auto"/>
            <w:noWrap/>
            <w:vAlign w:val="bottom"/>
            <w:hideMark/>
          </w:tcPr>
          <w:p w:rsidR="007F4FAA" w:rsidRPr="007F4FAA" w:rsidRDefault="007F4FAA" w:rsidP="007F4FAA">
            <w:pPr>
              <w:jc w:val="center"/>
              <w:rPr>
                <w:rFonts w:cs="Arial"/>
                <w:b/>
                <w:bCs/>
                <w:sz w:val="20"/>
                <w:u w:val="single"/>
              </w:rPr>
            </w:pPr>
            <w:r w:rsidRPr="007F4FAA">
              <w:rPr>
                <w:rFonts w:cs="Arial"/>
                <w:b/>
                <w:bCs/>
                <w:sz w:val="20"/>
                <w:u w:val="single"/>
              </w:rPr>
              <w:t>Forecast 15/16</w:t>
            </w:r>
          </w:p>
        </w:tc>
      </w:tr>
      <w:tr w:rsidR="007F4FAA" w:rsidRPr="007F4FAA" w:rsidTr="007F4FAA">
        <w:trPr>
          <w:trHeight w:val="288"/>
        </w:trPr>
        <w:tc>
          <w:tcPr>
            <w:tcW w:w="1794" w:type="pct"/>
            <w:gridSpan w:val="2"/>
            <w:tcBorders>
              <w:top w:val="nil"/>
              <w:left w:val="single" w:sz="4" w:space="0" w:color="auto"/>
              <w:bottom w:val="single" w:sz="4" w:space="0" w:color="auto"/>
              <w:right w:val="single" w:sz="4" w:space="0" w:color="000000"/>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Expenditure</w:t>
            </w:r>
          </w:p>
        </w:tc>
        <w:tc>
          <w:tcPr>
            <w:tcW w:w="489" w:type="pct"/>
            <w:tcBorders>
              <w:top w:val="nil"/>
              <w:left w:val="nil"/>
              <w:bottom w:val="single" w:sz="4" w:space="0" w:color="auto"/>
              <w:right w:val="nil"/>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491"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133"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490" w:type="pct"/>
            <w:tcBorders>
              <w:top w:val="nil"/>
              <w:left w:val="nil"/>
              <w:bottom w:val="single" w:sz="4" w:space="0" w:color="auto"/>
              <w:right w:val="nil"/>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490"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133"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490" w:type="pct"/>
            <w:tcBorders>
              <w:top w:val="nil"/>
              <w:left w:val="nil"/>
              <w:bottom w:val="single" w:sz="4" w:space="0" w:color="auto"/>
              <w:right w:val="nil"/>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c>
          <w:tcPr>
            <w:tcW w:w="490"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center"/>
              <w:rPr>
                <w:rFonts w:cs="Arial"/>
                <w:b/>
                <w:bCs/>
                <w:sz w:val="20"/>
              </w:rPr>
            </w:pPr>
            <w:r w:rsidRPr="007F4FAA">
              <w:rPr>
                <w:rFonts w:cs="Arial"/>
                <w:b/>
                <w:bCs/>
                <w:sz w:val="20"/>
              </w:rPr>
              <w:t>£m</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Pensions</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Retirement Pensions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168.012</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174.868</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178.966</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Widows Pensions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15.378</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15.758</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15.947</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EA3C53" w:rsidP="007F4FAA">
            <w:pPr>
              <w:rPr>
                <w:rFonts w:ascii="Calibri" w:hAnsi="Calibri"/>
                <w:color w:val="000000"/>
                <w:sz w:val="22"/>
                <w:szCs w:val="22"/>
              </w:rPr>
            </w:pPr>
            <w:r w:rsidRPr="007F4FAA">
              <w:rPr>
                <w:rFonts w:ascii="Calibri" w:hAnsi="Calibri"/>
                <w:color w:val="000000"/>
                <w:sz w:val="22"/>
                <w:szCs w:val="22"/>
              </w:rPr>
              <w:t>Children's</w:t>
            </w:r>
            <w:r w:rsidR="007F4FAA" w:rsidRPr="007F4FAA">
              <w:rPr>
                <w:rFonts w:ascii="Calibri" w:hAnsi="Calibri"/>
                <w:color w:val="000000"/>
                <w:sz w:val="22"/>
                <w:szCs w:val="22"/>
              </w:rPr>
              <w:t xml:space="preserve"> Pensions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0.515</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0.591</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0.598</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183.905</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191.216</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195.511</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Lump Sum Benefits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Retirement Grants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33.278</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47.233</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40.256</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Death Grants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3.960</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4.714</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4.337</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37.238</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51.948</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44.593</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Transfers Paid to Other Schemes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Lancashire County Council</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4.073</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2.558</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3.315</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District Councils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4.343</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3.790</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4.066</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Scheduled Bodies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3.167</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2.535</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2.851</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Probation Transfer</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0.000</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89.653</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0.000</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Admitted Bodies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3.720</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1.507</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2.613</w:t>
            </w: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15.303</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100.043</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12.846</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Refund of Contributions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0.010</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0.127</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0.069</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Contributions Equivalent Premium</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0.003</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-0.016</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-0.006</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Administrative expenses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4.502</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3.538</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3.424</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Investment management expenses</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11.293</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12.616</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13.045</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xml:space="preserve">Oversight and Governance </w:t>
            </w:r>
          </w:p>
        </w:tc>
        <w:tc>
          <w:tcPr>
            <w:tcW w:w="980"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Included in figures above</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1.329</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1.836</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TOTAL EXPENDITURE</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b/>
                <w:bCs/>
                <w:color w:val="000000"/>
                <w:sz w:val="22"/>
                <w:szCs w:val="22"/>
              </w:rPr>
            </w:pPr>
            <w:r w:rsidRPr="007F4FAA">
              <w:rPr>
                <w:rFonts w:ascii="Calibri" w:hAnsi="Calibri"/>
                <w:b/>
                <w:bCs/>
                <w:color w:val="000000"/>
                <w:sz w:val="22"/>
                <w:szCs w:val="22"/>
              </w:rPr>
              <w:t>252.254</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b/>
                <w:bCs/>
                <w:color w:val="000000"/>
                <w:sz w:val="22"/>
                <w:szCs w:val="22"/>
              </w:rPr>
            </w:pPr>
            <w:r w:rsidRPr="007F4FAA">
              <w:rPr>
                <w:rFonts w:ascii="Calibri" w:hAnsi="Calibri"/>
                <w:b/>
                <w:bCs/>
                <w:color w:val="000000"/>
                <w:sz w:val="22"/>
                <w:szCs w:val="22"/>
              </w:rPr>
              <w:t>360.802</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b/>
                <w:bCs/>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b/>
                <w:bCs/>
                <w:color w:val="000000"/>
                <w:sz w:val="22"/>
                <w:szCs w:val="22"/>
              </w:rPr>
            </w:pPr>
            <w:r w:rsidRPr="007F4FAA">
              <w:rPr>
                <w:rFonts w:ascii="Calibri" w:hAnsi="Calibri"/>
                <w:b/>
                <w:bCs/>
                <w:color w:val="000000"/>
                <w:sz w:val="22"/>
                <w:szCs w:val="22"/>
              </w:rPr>
              <w:t>271.317</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cs="Arial"/>
                <w:b/>
                <w:bCs/>
                <w:sz w:val="20"/>
              </w:rPr>
            </w:pPr>
            <w:r w:rsidRPr="007F4FAA">
              <w:rPr>
                <w:rFonts w:cs="Arial"/>
                <w:b/>
                <w:bCs/>
                <w:sz w:val="20"/>
              </w:rPr>
              <w:t>MONEY AVAILABLE FOR INVESTMENT</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b/>
                <w:bCs/>
                <w:color w:val="000000"/>
                <w:sz w:val="22"/>
                <w:szCs w:val="22"/>
              </w:rPr>
            </w:pPr>
            <w:r w:rsidRPr="007F4FAA">
              <w:rPr>
                <w:rFonts w:ascii="Calibri" w:hAnsi="Calibri"/>
                <w:b/>
                <w:bCs/>
                <w:color w:val="000000"/>
                <w:sz w:val="22"/>
                <w:szCs w:val="22"/>
              </w:rPr>
              <w:t>74.205</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b/>
                <w:bCs/>
                <w:color w:val="000000"/>
                <w:sz w:val="22"/>
                <w:szCs w:val="22"/>
              </w:rPr>
            </w:pPr>
            <w:r w:rsidRPr="007F4FAA">
              <w:rPr>
                <w:rFonts w:ascii="Calibri" w:hAnsi="Calibri"/>
                <w:b/>
                <w:bCs/>
                <w:color w:val="000000"/>
                <w:sz w:val="22"/>
                <w:szCs w:val="22"/>
              </w:rPr>
              <w:t>-23.919</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b/>
                <w:bCs/>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b/>
                <w:bCs/>
                <w:color w:val="000000"/>
                <w:sz w:val="22"/>
                <w:szCs w:val="22"/>
              </w:rPr>
            </w:pPr>
            <w:r w:rsidRPr="007F4FAA">
              <w:rPr>
                <w:rFonts w:ascii="Calibri" w:hAnsi="Calibri"/>
                <w:b/>
                <w:bCs/>
                <w:color w:val="000000"/>
                <w:sz w:val="22"/>
                <w:szCs w:val="22"/>
              </w:rPr>
              <w:t>85.899</w:t>
            </w:r>
          </w:p>
        </w:tc>
      </w:tr>
      <w:tr w:rsidR="007F4FAA" w:rsidRPr="007F4FAA" w:rsidTr="007F4FAA">
        <w:trPr>
          <w:trHeight w:val="288"/>
        </w:trPr>
        <w:tc>
          <w:tcPr>
            <w:tcW w:w="1794" w:type="pct"/>
            <w:gridSpan w:val="2"/>
            <w:tcBorders>
              <w:top w:val="nil"/>
              <w:left w:val="single" w:sz="4" w:space="0" w:color="auto"/>
              <w:bottom w:val="nil"/>
              <w:right w:val="single" w:sz="4" w:space="0" w:color="000000"/>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Add back Probation Transfer</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jc w:val="right"/>
              <w:rPr>
                <w:rFonts w:ascii="Calibri" w:hAnsi="Calibri"/>
                <w:color w:val="000000"/>
                <w:sz w:val="22"/>
                <w:szCs w:val="22"/>
              </w:rPr>
            </w:pPr>
            <w:r w:rsidRPr="007F4FAA">
              <w:rPr>
                <w:rFonts w:ascii="Calibri" w:hAnsi="Calibri"/>
                <w:color w:val="000000"/>
                <w:sz w:val="22"/>
                <w:szCs w:val="22"/>
              </w:rPr>
              <w:t>89.653</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jc w:val="right"/>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454" w:type="pct"/>
            <w:tcBorders>
              <w:top w:val="nil"/>
              <w:left w:val="single" w:sz="4" w:space="0" w:color="auto"/>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4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1"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single" w:sz="4" w:space="0" w:color="auto"/>
            </w:tcBorders>
            <w:shd w:val="clear" w:color="auto" w:fill="auto"/>
            <w:noWrap/>
            <w:vAlign w:val="bottom"/>
            <w:hideMark/>
          </w:tcPr>
          <w:p w:rsidR="007F4FAA" w:rsidRPr="007F4FAA" w:rsidRDefault="007F4FAA" w:rsidP="007F4FAA">
            <w:pPr>
              <w:rPr>
                <w:rFonts w:ascii="Calibri" w:hAnsi="Calibri"/>
                <w:color w:val="000000"/>
                <w:sz w:val="22"/>
                <w:szCs w:val="22"/>
              </w:rPr>
            </w:pPr>
            <w:r w:rsidRPr="007F4FAA">
              <w:rPr>
                <w:rFonts w:ascii="Calibri" w:hAnsi="Calibri"/>
                <w:color w:val="000000"/>
                <w:sz w:val="22"/>
                <w:szCs w:val="22"/>
              </w:rPr>
              <w:t> </w:t>
            </w:r>
          </w:p>
        </w:tc>
      </w:tr>
      <w:tr w:rsidR="007F4FAA" w:rsidRPr="007F4FAA" w:rsidTr="007F4FAA">
        <w:trPr>
          <w:trHeight w:val="288"/>
        </w:trPr>
        <w:tc>
          <w:tcPr>
            <w:tcW w:w="1794" w:type="pct"/>
            <w:gridSpan w:val="2"/>
            <w:tcBorders>
              <w:top w:val="nil"/>
              <w:left w:val="single" w:sz="4" w:space="0" w:color="auto"/>
              <w:bottom w:val="single" w:sz="4" w:space="0" w:color="auto"/>
              <w:right w:val="single" w:sz="4" w:space="0" w:color="000000"/>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Underlying money available for investment</w:t>
            </w:r>
          </w:p>
        </w:tc>
        <w:tc>
          <w:tcPr>
            <w:tcW w:w="489"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1"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133"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0"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0"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jc w:val="right"/>
              <w:rPr>
                <w:rFonts w:ascii="Calibri" w:hAnsi="Calibri"/>
                <w:b/>
                <w:bCs/>
                <w:color w:val="000000"/>
                <w:sz w:val="22"/>
                <w:szCs w:val="22"/>
              </w:rPr>
            </w:pPr>
            <w:r w:rsidRPr="007F4FAA">
              <w:rPr>
                <w:rFonts w:ascii="Calibri" w:hAnsi="Calibri"/>
                <w:b/>
                <w:bCs/>
                <w:color w:val="000000"/>
                <w:sz w:val="22"/>
                <w:szCs w:val="22"/>
              </w:rPr>
              <w:t>65.734</w:t>
            </w:r>
          </w:p>
        </w:tc>
        <w:tc>
          <w:tcPr>
            <w:tcW w:w="133"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0" w:type="pct"/>
            <w:tcBorders>
              <w:top w:val="nil"/>
              <w:left w:val="nil"/>
              <w:bottom w:val="single" w:sz="4" w:space="0" w:color="auto"/>
              <w:right w:val="nil"/>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c>
          <w:tcPr>
            <w:tcW w:w="490" w:type="pct"/>
            <w:tcBorders>
              <w:top w:val="nil"/>
              <w:left w:val="nil"/>
              <w:bottom w:val="single" w:sz="4" w:space="0" w:color="auto"/>
              <w:right w:val="single" w:sz="4" w:space="0" w:color="auto"/>
            </w:tcBorders>
            <w:shd w:val="clear" w:color="auto" w:fill="auto"/>
            <w:noWrap/>
            <w:vAlign w:val="bottom"/>
            <w:hideMark/>
          </w:tcPr>
          <w:p w:rsidR="007F4FAA" w:rsidRPr="007F4FAA" w:rsidRDefault="007F4FAA" w:rsidP="007F4FAA">
            <w:pPr>
              <w:rPr>
                <w:rFonts w:ascii="Calibri" w:hAnsi="Calibri"/>
                <w:b/>
                <w:bCs/>
                <w:color w:val="000000"/>
                <w:sz w:val="22"/>
                <w:szCs w:val="22"/>
              </w:rPr>
            </w:pPr>
            <w:r w:rsidRPr="007F4FAA">
              <w:rPr>
                <w:rFonts w:ascii="Calibri" w:hAnsi="Calibri"/>
                <w:b/>
                <w:bCs/>
                <w:color w:val="000000"/>
                <w:sz w:val="22"/>
                <w:szCs w:val="22"/>
              </w:rPr>
              <w:t> </w:t>
            </w:r>
          </w:p>
        </w:tc>
      </w:tr>
      <w:tr w:rsidR="007F4FAA" w:rsidRPr="007F4FAA" w:rsidTr="007F4FAA">
        <w:trPr>
          <w:trHeight w:val="288"/>
        </w:trPr>
        <w:tc>
          <w:tcPr>
            <w:tcW w:w="1794" w:type="pct"/>
            <w:gridSpan w:val="2"/>
            <w:tcBorders>
              <w:top w:val="nil"/>
              <w:left w:val="nil"/>
              <w:bottom w:val="nil"/>
              <w:right w:val="nil"/>
            </w:tcBorders>
            <w:shd w:val="clear" w:color="auto" w:fill="auto"/>
            <w:noWrap/>
            <w:vAlign w:val="bottom"/>
            <w:hideMark/>
          </w:tcPr>
          <w:p w:rsidR="007F4FAA" w:rsidRPr="007F4FAA" w:rsidRDefault="00461426" w:rsidP="007F4FAA">
            <w:pPr>
              <w:rPr>
                <w:rFonts w:ascii="Calibri" w:hAnsi="Calibri"/>
                <w:color w:val="000000"/>
                <w:sz w:val="22"/>
                <w:szCs w:val="22"/>
              </w:rPr>
            </w:pPr>
            <w:r>
              <w:rPr>
                <w:rFonts w:ascii="Calibri" w:hAnsi="Calibri"/>
                <w:color w:val="000000"/>
                <w:sz w:val="22"/>
                <w:szCs w:val="22"/>
              </w:rPr>
              <w:t>N</w:t>
            </w:r>
            <w:r w:rsidR="007F4FAA" w:rsidRPr="007F4FAA">
              <w:rPr>
                <w:rFonts w:ascii="Calibri" w:hAnsi="Calibri"/>
                <w:color w:val="000000"/>
                <w:sz w:val="22"/>
                <w:szCs w:val="22"/>
              </w:rPr>
              <w:t>ote totals may not agree due to rounding</w:t>
            </w:r>
          </w:p>
        </w:tc>
        <w:tc>
          <w:tcPr>
            <w:tcW w:w="489" w:type="pct"/>
            <w:tcBorders>
              <w:top w:val="nil"/>
              <w:left w:val="nil"/>
              <w:bottom w:val="nil"/>
              <w:right w:val="nil"/>
            </w:tcBorders>
            <w:shd w:val="clear" w:color="auto" w:fill="auto"/>
            <w:noWrap/>
            <w:vAlign w:val="bottom"/>
            <w:hideMark/>
          </w:tcPr>
          <w:p w:rsidR="007F4FAA" w:rsidRPr="007F4FAA" w:rsidRDefault="007F4FAA" w:rsidP="007F4FAA">
            <w:pPr>
              <w:rPr>
                <w:rFonts w:ascii="Calibri" w:hAnsi="Calibri"/>
                <w:color w:val="000000"/>
                <w:sz w:val="22"/>
                <w:szCs w:val="22"/>
              </w:rPr>
            </w:pPr>
          </w:p>
        </w:tc>
        <w:tc>
          <w:tcPr>
            <w:tcW w:w="491"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133"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c>
          <w:tcPr>
            <w:tcW w:w="490" w:type="pct"/>
            <w:tcBorders>
              <w:top w:val="nil"/>
              <w:left w:val="nil"/>
              <w:bottom w:val="nil"/>
              <w:right w:val="nil"/>
            </w:tcBorders>
            <w:shd w:val="clear" w:color="auto" w:fill="auto"/>
            <w:noWrap/>
            <w:vAlign w:val="bottom"/>
            <w:hideMark/>
          </w:tcPr>
          <w:p w:rsidR="007F4FAA" w:rsidRPr="007F4FAA" w:rsidRDefault="007F4FAA" w:rsidP="007F4FAA">
            <w:pPr>
              <w:rPr>
                <w:rFonts w:ascii="Times New Roman" w:hAnsi="Times New Roman"/>
                <w:sz w:val="20"/>
              </w:rPr>
            </w:pPr>
          </w:p>
        </w:tc>
      </w:tr>
    </w:tbl>
    <w:p w:rsidR="00461426" w:rsidRDefault="00461426">
      <w:pPr>
        <w:rPr>
          <w:rFonts w:cs="Arial"/>
        </w:rPr>
        <w:sectPr w:rsidR="00461426" w:rsidSect="007F4FAA">
          <w:headerReference w:type="even" r:id="rId8"/>
          <w:headerReference w:type="default" r:id="rId9"/>
          <w:footerReference w:type="even" r:id="rId10"/>
          <w:footerReference w:type="default" r:id="rId11"/>
          <w:headerReference w:type="first" r:id="rId12"/>
          <w:footerReference w:type="first" r:id="rId13"/>
          <w:type w:val="continuous"/>
          <w:pgSz w:w="16840" w:h="11907" w:orient="landscape" w:code="9"/>
          <w:pgMar w:top="1440" w:right="1440" w:bottom="1440" w:left="1440" w:header="720" w:footer="306" w:gutter="0"/>
          <w:cols w:space="720"/>
          <w:titlePg/>
        </w:sectPr>
      </w:pPr>
    </w:p>
    <w:p w:rsidR="00695A2F" w:rsidRDefault="00461426">
      <w:pPr>
        <w:rPr>
          <w:rFonts w:cs="Arial"/>
        </w:rPr>
      </w:pPr>
      <w:r>
        <w:rPr>
          <w:rFonts w:cs="Arial"/>
          <w:b/>
        </w:rPr>
        <w:lastRenderedPageBreak/>
        <w:t>Pension Fund Financial Forecast – Explanatory Notes</w:t>
      </w:r>
    </w:p>
    <w:p w:rsidR="00461426" w:rsidRDefault="00461426">
      <w:pPr>
        <w:rPr>
          <w:rFonts w:cs="Arial"/>
        </w:rPr>
      </w:pPr>
    </w:p>
    <w:p w:rsidR="00461426" w:rsidRDefault="00461426" w:rsidP="00461426">
      <w:pPr>
        <w:pStyle w:val="ListParagraph"/>
        <w:numPr>
          <w:ilvl w:val="0"/>
          <w:numId w:val="15"/>
        </w:numPr>
        <w:rPr>
          <w:rFonts w:cs="Arial"/>
        </w:rPr>
      </w:pPr>
      <w:r>
        <w:rPr>
          <w:rFonts w:cs="Arial"/>
        </w:rPr>
        <w:t>Contributions to the Fund by employers are assumed to increase in line with the requirements set out in the 2013 Valuation Report. This particularly impacts on the deficit contributions.</w:t>
      </w:r>
    </w:p>
    <w:p w:rsidR="00461426" w:rsidRDefault="00461426" w:rsidP="00461426">
      <w:pPr>
        <w:pStyle w:val="ListParagraph"/>
        <w:rPr>
          <w:rFonts w:cs="Arial"/>
        </w:rPr>
      </w:pPr>
    </w:p>
    <w:p w:rsidR="00461426" w:rsidRDefault="00461426" w:rsidP="00461426">
      <w:pPr>
        <w:pStyle w:val="ListParagraph"/>
        <w:numPr>
          <w:ilvl w:val="0"/>
          <w:numId w:val="15"/>
        </w:numPr>
        <w:rPr>
          <w:rFonts w:cs="Arial"/>
        </w:rPr>
      </w:pPr>
      <w:r>
        <w:rPr>
          <w:rFonts w:cs="Arial"/>
        </w:rPr>
        <w:t xml:space="preserve">Pension Strain and augmentation values assume a peak of early retirements at the end of 2014/15 with a somewhat reduced number during 2015/16. This is based on available intelligence </w:t>
      </w:r>
      <w:r w:rsidR="00EA3C53">
        <w:rPr>
          <w:rFonts w:cs="Arial"/>
        </w:rPr>
        <w:t xml:space="preserve">from large fund employers </w:t>
      </w:r>
      <w:r>
        <w:rPr>
          <w:rFonts w:cs="Arial"/>
        </w:rPr>
        <w:t xml:space="preserve">but </w:t>
      </w:r>
      <w:r w:rsidR="00EA3C53">
        <w:rPr>
          <w:rFonts w:cs="Arial"/>
        </w:rPr>
        <w:t>is very much driven by individual employer decisions.</w:t>
      </w:r>
    </w:p>
    <w:p w:rsidR="00EA3C53" w:rsidRPr="00EA3C53" w:rsidRDefault="00EA3C53" w:rsidP="00EA3C53">
      <w:pPr>
        <w:pStyle w:val="ListParagraph"/>
        <w:rPr>
          <w:rFonts w:cs="Arial"/>
        </w:rPr>
      </w:pPr>
    </w:p>
    <w:p w:rsidR="00EA3C53" w:rsidRDefault="00EA3C53" w:rsidP="00461426">
      <w:pPr>
        <w:pStyle w:val="ListParagraph"/>
        <w:numPr>
          <w:ilvl w:val="0"/>
          <w:numId w:val="15"/>
        </w:numPr>
        <w:rPr>
          <w:rFonts w:cs="Arial"/>
        </w:rPr>
      </w:pPr>
      <w:r>
        <w:rPr>
          <w:rFonts w:cs="Arial"/>
        </w:rPr>
        <w:t>Employee contributions assume no measurable increase in the total pensionable pay bill. While pay increases may occur this is assumed to be at least offset by the impact of workforce reductions across the Fund's membership.</w:t>
      </w:r>
    </w:p>
    <w:p w:rsidR="00EA3C53" w:rsidRPr="00EA3C53" w:rsidRDefault="00EA3C53" w:rsidP="00EA3C53">
      <w:pPr>
        <w:pStyle w:val="ListParagraph"/>
        <w:rPr>
          <w:rFonts w:cs="Arial"/>
        </w:rPr>
      </w:pPr>
    </w:p>
    <w:p w:rsidR="00EA3C53" w:rsidRDefault="00EA3C53" w:rsidP="00461426">
      <w:pPr>
        <w:pStyle w:val="ListParagraph"/>
        <w:numPr>
          <w:ilvl w:val="0"/>
          <w:numId w:val="15"/>
        </w:numPr>
        <w:rPr>
          <w:rFonts w:cs="Arial"/>
        </w:rPr>
      </w:pPr>
      <w:r>
        <w:rPr>
          <w:rFonts w:cs="Arial"/>
        </w:rPr>
        <w:t>Transfers into the Fund are expected to continue at the average level of previous years.</w:t>
      </w:r>
    </w:p>
    <w:p w:rsidR="00EA3C53" w:rsidRPr="00EA3C53" w:rsidRDefault="00EA3C53" w:rsidP="00EA3C53">
      <w:pPr>
        <w:pStyle w:val="ListParagraph"/>
        <w:rPr>
          <w:rFonts w:cs="Arial"/>
        </w:rPr>
      </w:pPr>
    </w:p>
    <w:p w:rsidR="00EA3C53" w:rsidRDefault="00EA3C53" w:rsidP="00461426">
      <w:pPr>
        <w:pStyle w:val="ListParagraph"/>
        <w:numPr>
          <w:ilvl w:val="0"/>
          <w:numId w:val="15"/>
        </w:numPr>
        <w:rPr>
          <w:rFonts w:cs="Arial"/>
        </w:rPr>
      </w:pPr>
      <w:r>
        <w:rPr>
          <w:rFonts w:cs="Arial"/>
        </w:rPr>
        <w:t>Investment income reflects known income profiles together with an assumption of dividend and other similar income based on maintaining the average over previous years. There are no assumptions about capital growth built into this element of the forecast.</w:t>
      </w:r>
    </w:p>
    <w:p w:rsidR="00EA3C53" w:rsidRPr="00EA3C53" w:rsidRDefault="00EA3C53" w:rsidP="00EA3C53">
      <w:pPr>
        <w:pStyle w:val="ListParagraph"/>
        <w:rPr>
          <w:rFonts w:cs="Arial"/>
        </w:rPr>
      </w:pPr>
    </w:p>
    <w:p w:rsidR="00EA3C53" w:rsidRDefault="00EA3C53" w:rsidP="00461426">
      <w:pPr>
        <w:pStyle w:val="ListParagraph"/>
        <w:numPr>
          <w:ilvl w:val="0"/>
          <w:numId w:val="15"/>
        </w:numPr>
        <w:rPr>
          <w:rFonts w:cs="Arial"/>
        </w:rPr>
      </w:pPr>
      <w:r>
        <w:rPr>
          <w:rFonts w:cs="Arial"/>
        </w:rPr>
        <w:t>In general benefits are forecast to increase in line with assumed CPI inflation adjusted for average turnover in the number of scheme beneficiaries.</w:t>
      </w:r>
    </w:p>
    <w:p w:rsidR="00EA3C53" w:rsidRPr="00EA3C53" w:rsidRDefault="00EA3C53" w:rsidP="00EA3C53">
      <w:pPr>
        <w:pStyle w:val="ListParagraph"/>
        <w:rPr>
          <w:rFonts w:cs="Arial"/>
        </w:rPr>
      </w:pPr>
    </w:p>
    <w:p w:rsidR="00EA3C53" w:rsidRDefault="00EA3C53" w:rsidP="00461426">
      <w:pPr>
        <w:pStyle w:val="ListParagraph"/>
        <w:numPr>
          <w:ilvl w:val="0"/>
          <w:numId w:val="15"/>
        </w:numPr>
        <w:rPr>
          <w:rFonts w:cs="Arial"/>
        </w:rPr>
      </w:pPr>
      <w:r>
        <w:rPr>
          <w:rFonts w:cs="Arial"/>
        </w:rPr>
        <w:t>Lump sum payments are forecast based on the same assumptions as used for pension strain together with the average level of natural retirements.</w:t>
      </w:r>
    </w:p>
    <w:p w:rsidR="00EA3C53" w:rsidRPr="00EA3C53" w:rsidRDefault="00EA3C53" w:rsidP="00EA3C53">
      <w:pPr>
        <w:pStyle w:val="ListParagraph"/>
        <w:rPr>
          <w:rFonts w:cs="Arial"/>
        </w:rPr>
      </w:pPr>
    </w:p>
    <w:p w:rsidR="00EA3C53" w:rsidRDefault="00EA3C53" w:rsidP="00461426">
      <w:pPr>
        <w:pStyle w:val="ListParagraph"/>
        <w:numPr>
          <w:ilvl w:val="0"/>
          <w:numId w:val="15"/>
        </w:numPr>
        <w:rPr>
          <w:rFonts w:cs="Arial"/>
        </w:rPr>
      </w:pPr>
      <w:r>
        <w:rPr>
          <w:rFonts w:cs="Arial"/>
        </w:rPr>
        <w:t>With the exception of the exceptional transfer out in relation to Probation the average of previous years is assumed for transfers out of the Fund.</w:t>
      </w:r>
    </w:p>
    <w:p w:rsidR="00EA3C53" w:rsidRPr="00EA3C53" w:rsidRDefault="00EA3C53" w:rsidP="00EA3C53">
      <w:pPr>
        <w:pStyle w:val="ListParagraph"/>
        <w:rPr>
          <w:rFonts w:cs="Arial"/>
        </w:rPr>
      </w:pPr>
    </w:p>
    <w:p w:rsidR="00EA3C53" w:rsidRDefault="00EA3C53" w:rsidP="00461426">
      <w:pPr>
        <w:pStyle w:val="ListParagraph"/>
        <w:numPr>
          <w:ilvl w:val="0"/>
          <w:numId w:val="15"/>
        </w:numPr>
        <w:rPr>
          <w:rFonts w:cs="Arial"/>
        </w:rPr>
      </w:pPr>
      <w:r>
        <w:rPr>
          <w:rFonts w:cs="Arial"/>
        </w:rPr>
        <w:t xml:space="preserve">Administrative expenses include the bulk of the costs incurred by the County Council in running the scheme. This </w:t>
      </w:r>
      <w:r w:rsidR="0068199C">
        <w:rPr>
          <w:rFonts w:cs="Arial"/>
        </w:rPr>
        <w:t>includes the costs of Your Pension Service which are charged on the basis of a per member charge of £21</w:t>
      </w:r>
      <w:r w:rsidR="00AD706D">
        <w:rPr>
          <w:rFonts w:cs="Arial"/>
        </w:rPr>
        <w:t>.08</w:t>
      </w:r>
      <w:r w:rsidR="0068199C">
        <w:rPr>
          <w:rFonts w:cs="Arial"/>
        </w:rPr>
        <w:t>, which is a reduction from previous years</w:t>
      </w:r>
      <w:r w:rsidR="00627E80">
        <w:rPr>
          <w:rFonts w:cs="Arial"/>
        </w:rPr>
        <w:t>.</w:t>
      </w:r>
      <w:r w:rsidR="003658DC">
        <w:rPr>
          <w:rFonts w:cs="Arial"/>
        </w:rPr>
        <w:t xml:space="preserve"> In addition this element includes non-staff costs and overheads in relation to other staff undertaking work for the Fund. </w:t>
      </w:r>
    </w:p>
    <w:p w:rsidR="0068199C" w:rsidRPr="0068199C" w:rsidRDefault="0068199C" w:rsidP="0068199C">
      <w:pPr>
        <w:pStyle w:val="ListParagraph"/>
        <w:rPr>
          <w:rFonts w:cs="Arial"/>
        </w:rPr>
      </w:pPr>
    </w:p>
    <w:p w:rsidR="0068199C" w:rsidRDefault="0068199C" w:rsidP="00461426">
      <w:pPr>
        <w:pStyle w:val="ListParagraph"/>
        <w:numPr>
          <w:ilvl w:val="0"/>
          <w:numId w:val="15"/>
        </w:numPr>
        <w:rPr>
          <w:rFonts w:cs="Arial"/>
        </w:rPr>
      </w:pPr>
      <w:r>
        <w:rPr>
          <w:rFonts w:cs="Arial"/>
        </w:rPr>
        <w:t>Investment Management Expenses includes fees paid to fund managers and assumes some growth in assets under management in line with the targets set for the individual managers.</w:t>
      </w:r>
      <w:r w:rsidR="00FC1475">
        <w:rPr>
          <w:rFonts w:cs="Arial"/>
        </w:rPr>
        <w:t xml:space="preserve">  It also includes the cost of the internal Investment Team.</w:t>
      </w:r>
    </w:p>
    <w:p w:rsidR="0068199C" w:rsidRPr="0068199C" w:rsidRDefault="0068199C" w:rsidP="0068199C">
      <w:pPr>
        <w:pStyle w:val="ListParagraph"/>
        <w:rPr>
          <w:rFonts w:cs="Arial"/>
        </w:rPr>
      </w:pPr>
    </w:p>
    <w:p w:rsidR="0068199C" w:rsidRPr="00461426" w:rsidRDefault="0068199C" w:rsidP="00461426">
      <w:pPr>
        <w:pStyle w:val="ListParagraph"/>
        <w:numPr>
          <w:ilvl w:val="0"/>
          <w:numId w:val="15"/>
        </w:numPr>
        <w:rPr>
          <w:rFonts w:cs="Arial"/>
        </w:rPr>
      </w:pPr>
      <w:r>
        <w:rPr>
          <w:rFonts w:cs="Arial"/>
        </w:rPr>
        <w:t xml:space="preserve">Oversight and Governance reflects </w:t>
      </w:r>
      <w:r w:rsidR="00FC1475">
        <w:rPr>
          <w:rFonts w:cs="Arial"/>
        </w:rPr>
        <w:t>professional fees for exa</w:t>
      </w:r>
      <w:r w:rsidR="00627E80">
        <w:rPr>
          <w:rFonts w:cs="Arial"/>
        </w:rPr>
        <w:t xml:space="preserve">mple legal, </w:t>
      </w:r>
      <w:r w:rsidR="00FC1475">
        <w:rPr>
          <w:rFonts w:cs="Arial"/>
        </w:rPr>
        <w:t>audi</w:t>
      </w:r>
      <w:r w:rsidR="00627E80">
        <w:rPr>
          <w:rFonts w:cs="Arial"/>
        </w:rPr>
        <w:t>t, advisory and performance monitoring</w:t>
      </w:r>
      <w:r w:rsidR="00FC1475">
        <w:rPr>
          <w:rFonts w:cs="Arial"/>
        </w:rPr>
        <w:t>, costs of running the new Pension Board and the other staffing costs</w:t>
      </w:r>
      <w:r w:rsidR="00627E80">
        <w:rPr>
          <w:rFonts w:cs="Arial"/>
        </w:rPr>
        <w:t>.  S</w:t>
      </w:r>
      <w:r w:rsidR="00CB1121">
        <w:rPr>
          <w:rFonts w:cs="Arial"/>
        </w:rPr>
        <w:t>taff working on the Fund are charged on the basis of direct employment costs</w:t>
      </w:r>
      <w:r w:rsidR="00627E80">
        <w:rPr>
          <w:rFonts w:cs="Arial"/>
        </w:rPr>
        <w:t>.</w:t>
      </w:r>
    </w:p>
    <w:sectPr w:rsidR="0068199C" w:rsidRPr="00461426" w:rsidSect="00461426">
      <w:pgSz w:w="11907" w:h="16840" w:code="9"/>
      <w:pgMar w:top="1440" w:right="1440" w:bottom="1440" w:left="1440" w:header="720" w:footer="3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68" w:rsidRDefault="00944168">
      <w:r>
        <w:separator/>
      </w:r>
    </w:p>
  </w:endnote>
  <w:endnote w:type="continuationSeparator" w:id="0">
    <w:p w:rsidR="00944168" w:rsidRDefault="0094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4B" w:rsidRDefault="005C0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1475">
      <w:tc>
        <w:tcPr>
          <w:tcW w:w="9243" w:type="dxa"/>
          <w:tcBorders>
            <w:top w:val="nil"/>
            <w:left w:val="nil"/>
            <w:bottom w:val="nil"/>
            <w:right w:val="nil"/>
          </w:tcBorders>
        </w:tcPr>
        <w:p w:rsidR="00FC1475" w:rsidRDefault="00FC1475">
          <w:pPr>
            <w:pStyle w:val="Footer"/>
            <w:tabs>
              <w:tab w:val="clear" w:pos="4153"/>
            </w:tabs>
            <w:ind w:right="-45"/>
            <w:jc w:val="right"/>
          </w:pPr>
        </w:p>
      </w:tc>
    </w:tr>
  </w:tbl>
  <w:p w:rsidR="00FC1475" w:rsidRDefault="00FC1475">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1475">
      <w:tc>
        <w:tcPr>
          <w:tcW w:w="9243" w:type="dxa"/>
          <w:tcBorders>
            <w:top w:val="nil"/>
            <w:left w:val="nil"/>
            <w:bottom w:val="nil"/>
            <w:right w:val="nil"/>
          </w:tcBorders>
        </w:tcPr>
        <w:p w:rsidR="00FC1475" w:rsidRDefault="00FC1475">
          <w:pPr>
            <w:pStyle w:val="Footer"/>
            <w:tabs>
              <w:tab w:val="clear" w:pos="4153"/>
            </w:tabs>
            <w:ind w:right="-45"/>
            <w:jc w:val="right"/>
          </w:pPr>
          <w:bookmarkStart w:id="0" w:name="_GoBack"/>
          <w:bookmarkEnd w:id="0"/>
        </w:p>
      </w:tc>
    </w:tr>
  </w:tbl>
  <w:p w:rsidR="00FC1475" w:rsidRDefault="00FC147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68" w:rsidRDefault="00944168">
      <w:r>
        <w:separator/>
      </w:r>
    </w:p>
  </w:footnote>
  <w:footnote w:type="continuationSeparator" w:id="0">
    <w:p w:rsidR="00944168" w:rsidRDefault="0094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4B" w:rsidRDefault="005C0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4B" w:rsidRDefault="005C0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4B" w:rsidRDefault="005C0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6F84"/>
    <w:multiLevelType w:val="multilevel"/>
    <w:tmpl w:val="DE32E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976F7D"/>
    <w:multiLevelType w:val="multilevel"/>
    <w:tmpl w:val="9FEE1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C6668A"/>
    <w:multiLevelType w:val="hybridMultilevel"/>
    <w:tmpl w:val="270AE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A07ED"/>
    <w:multiLevelType w:val="hybridMultilevel"/>
    <w:tmpl w:val="B770E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92755F"/>
    <w:multiLevelType w:val="hybridMultilevel"/>
    <w:tmpl w:val="13423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2B9D662C"/>
    <w:multiLevelType w:val="multilevel"/>
    <w:tmpl w:val="0CA8DFB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EB08A8"/>
    <w:multiLevelType w:val="hybridMultilevel"/>
    <w:tmpl w:val="844CDCD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E513E5"/>
    <w:multiLevelType w:val="hybridMultilevel"/>
    <w:tmpl w:val="EFFA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085201"/>
    <w:multiLevelType w:val="hybridMultilevel"/>
    <w:tmpl w:val="85822E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9C55F6D"/>
    <w:multiLevelType w:val="hybridMultilevel"/>
    <w:tmpl w:val="4A9A88C4"/>
    <w:lvl w:ilvl="0" w:tplc="54B2A2F2">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0B5262"/>
    <w:multiLevelType w:val="multilevel"/>
    <w:tmpl w:val="9DCAC1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3E80709"/>
    <w:multiLevelType w:val="multilevel"/>
    <w:tmpl w:val="C3DC66AE"/>
    <w:lvl w:ilvl="0">
      <w:start w:val="1"/>
      <w:numFmt w:val="decimal"/>
      <w:lvlText w:val="%1."/>
      <w:lvlJc w:val="left"/>
      <w:pPr>
        <w:tabs>
          <w:tab w:val="num" w:pos="1080"/>
        </w:tabs>
        <w:ind w:left="1080" w:hanging="360"/>
      </w:p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69E0138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nsid w:val="6A14487B"/>
    <w:multiLevelType w:val="hybridMultilevel"/>
    <w:tmpl w:val="D8AA91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0E84962"/>
    <w:multiLevelType w:val="multilevel"/>
    <w:tmpl w:val="AC388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8"/>
  </w:num>
  <w:num w:numId="4">
    <w:abstractNumId w:val="11"/>
  </w:num>
  <w:num w:numId="5">
    <w:abstractNumId w:val="5"/>
  </w:num>
  <w:num w:numId="6">
    <w:abstractNumId w:val="14"/>
  </w:num>
  <w:num w:numId="7">
    <w:abstractNumId w:val="10"/>
  </w:num>
  <w:num w:numId="8">
    <w:abstractNumId w:val="2"/>
  </w:num>
  <w:num w:numId="9">
    <w:abstractNumId w:val="9"/>
  </w:num>
  <w:num w:numId="10">
    <w:abstractNumId w:val="1"/>
  </w:num>
  <w:num w:numId="11">
    <w:abstractNumId w:val="0"/>
  </w:num>
  <w:num w:numId="12">
    <w:abstractNumId w:val="12"/>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7C10"/>
    <w:rsid w:val="00054ACF"/>
    <w:rsid w:val="00113FCB"/>
    <w:rsid w:val="00132EC1"/>
    <w:rsid w:val="001D19A7"/>
    <w:rsid w:val="001D41EF"/>
    <w:rsid w:val="001F6ED2"/>
    <w:rsid w:val="00220CE1"/>
    <w:rsid w:val="0028461B"/>
    <w:rsid w:val="002B11AF"/>
    <w:rsid w:val="002F6307"/>
    <w:rsid w:val="003130B1"/>
    <w:rsid w:val="00354CAC"/>
    <w:rsid w:val="00357954"/>
    <w:rsid w:val="003658DC"/>
    <w:rsid w:val="003903C5"/>
    <w:rsid w:val="003C286B"/>
    <w:rsid w:val="003D5EAE"/>
    <w:rsid w:val="003E6A45"/>
    <w:rsid w:val="00443FF1"/>
    <w:rsid w:val="0044710C"/>
    <w:rsid w:val="00461426"/>
    <w:rsid w:val="00482034"/>
    <w:rsid w:val="00533B69"/>
    <w:rsid w:val="00581BB4"/>
    <w:rsid w:val="0059721A"/>
    <w:rsid w:val="005C084B"/>
    <w:rsid w:val="00621B00"/>
    <w:rsid w:val="00627E80"/>
    <w:rsid w:val="0068199C"/>
    <w:rsid w:val="00695A2F"/>
    <w:rsid w:val="006C2998"/>
    <w:rsid w:val="006E70C9"/>
    <w:rsid w:val="00721DD9"/>
    <w:rsid w:val="00742E91"/>
    <w:rsid w:val="0076746C"/>
    <w:rsid w:val="00772BBA"/>
    <w:rsid w:val="007736EA"/>
    <w:rsid w:val="007C56D1"/>
    <w:rsid w:val="007E7A9F"/>
    <w:rsid w:val="007F4FAA"/>
    <w:rsid w:val="00881D81"/>
    <w:rsid w:val="008A5E88"/>
    <w:rsid w:val="008C5672"/>
    <w:rsid w:val="0092570E"/>
    <w:rsid w:val="00944168"/>
    <w:rsid w:val="009B3418"/>
    <w:rsid w:val="009B61F1"/>
    <w:rsid w:val="00A10662"/>
    <w:rsid w:val="00A91A3F"/>
    <w:rsid w:val="00AB758C"/>
    <w:rsid w:val="00AC277D"/>
    <w:rsid w:val="00AD706D"/>
    <w:rsid w:val="00B2744B"/>
    <w:rsid w:val="00B60CEA"/>
    <w:rsid w:val="00B6519E"/>
    <w:rsid w:val="00B67789"/>
    <w:rsid w:val="00BB08CC"/>
    <w:rsid w:val="00BF1C96"/>
    <w:rsid w:val="00C20DC0"/>
    <w:rsid w:val="00C96CF9"/>
    <w:rsid w:val="00CB1121"/>
    <w:rsid w:val="00CD0789"/>
    <w:rsid w:val="00CD5239"/>
    <w:rsid w:val="00D52B8F"/>
    <w:rsid w:val="00DB19FB"/>
    <w:rsid w:val="00DF3F7E"/>
    <w:rsid w:val="00E97488"/>
    <w:rsid w:val="00EA3C53"/>
    <w:rsid w:val="00EA45E5"/>
    <w:rsid w:val="00EF61D1"/>
    <w:rsid w:val="00F02FF7"/>
    <w:rsid w:val="00F11FE3"/>
    <w:rsid w:val="00F861F0"/>
    <w:rsid w:val="00FC1475"/>
    <w:rsid w:val="00FD0946"/>
    <w:rsid w:val="00FD276B"/>
    <w:rsid w:val="00FD7216"/>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A59E6A-72E5-427C-A5BB-F29ECFEE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D1"/>
    <w:rPr>
      <w:rFonts w:ascii="Arial" w:hAnsi="Arial"/>
      <w:sz w:val="24"/>
    </w:rPr>
  </w:style>
  <w:style w:type="paragraph" w:styleId="Heading1">
    <w:name w:val="heading 1"/>
    <w:basedOn w:val="Normal"/>
    <w:next w:val="Normal"/>
    <w:qFormat/>
    <w:rsid w:val="00EF61D1"/>
    <w:pPr>
      <w:keepNext/>
      <w:outlineLvl w:val="0"/>
    </w:pPr>
    <w:rPr>
      <w:b/>
    </w:rPr>
  </w:style>
  <w:style w:type="paragraph" w:styleId="Heading5">
    <w:name w:val="heading 5"/>
    <w:basedOn w:val="Normal"/>
    <w:next w:val="Normal"/>
    <w:qFormat/>
    <w:rsid w:val="00EF61D1"/>
    <w:pPr>
      <w:keepNext/>
      <w:outlineLvl w:val="4"/>
    </w:pPr>
    <w:rPr>
      <w:rFonts w:ascii="Univers" w:hAnsi="Univers"/>
      <w:b/>
      <w:u w:val="single"/>
    </w:rPr>
  </w:style>
  <w:style w:type="paragraph" w:styleId="Heading6">
    <w:name w:val="heading 6"/>
    <w:basedOn w:val="Normal"/>
    <w:next w:val="Normal"/>
    <w:qFormat/>
    <w:rsid w:val="00EF61D1"/>
    <w:pPr>
      <w:keepNext/>
      <w:outlineLvl w:val="5"/>
    </w:pPr>
    <w:rPr>
      <w:rFonts w:ascii="Univers" w:hAnsi="Univers"/>
      <w:b/>
    </w:rPr>
  </w:style>
  <w:style w:type="paragraph" w:styleId="Heading7">
    <w:name w:val="heading 7"/>
    <w:basedOn w:val="Normal"/>
    <w:next w:val="Normal"/>
    <w:qFormat/>
    <w:rsid w:val="00EF61D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1D1"/>
  </w:style>
  <w:style w:type="paragraph" w:customStyle="1" w:styleId="arial11">
    <w:name w:val="arial11"/>
    <w:basedOn w:val="Normal"/>
    <w:rsid w:val="00EF61D1"/>
  </w:style>
  <w:style w:type="paragraph" w:styleId="BodyText">
    <w:name w:val="Body Text"/>
    <w:basedOn w:val="Normal"/>
    <w:rsid w:val="00EF61D1"/>
  </w:style>
  <w:style w:type="paragraph" w:styleId="Footer">
    <w:name w:val="footer"/>
    <w:basedOn w:val="Normal"/>
    <w:rsid w:val="00EF61D1"/>
    <w:pPr>
      <w:tabs>
        <w:tab w:val="center" w:pos="4153"/>
        <w:tab w:val="right" w:pos="8306"/>
      </w:tabs>
    </w:pPr>
  </w:style>
  <w:style w:type="character" w:styleId="PageNumber">
    <w:name w:val="page number"/>
    <w:basedOn w:val="DefaultParagraphFont"/>
    <w:rsid w:val="00EF61D1"/>
  </w:style>
  <w:style w:type="paragraph" w:styleId="BalloonText">
    <w:name w:val="Balloon Text"/>
    <w:basedOn w:val="Normal"/>
    <w:semiHidden/>
    <w:rsid w:val="00357954"/>
    <w:rPr>
      <w:rFonts w:ascii="Tahoma" w:hAnsi="Tahoma" w:cs="Tahoma"/>
      <w:sz w:val="16"/>
      <w:szCs w:val="16"/>
    </w:rPr>
  </w:style>
  <w:style w:type="paragraph" w:styleId="BodyTextIndent">
    <w:name w:val="Body Text Indent"/>
    <w:basedOn w:val="Normal"/>
    <w:link w:val="BodyTextIndentChar"/>
    <w:uiPriority w:val="99"/>
    <w:semiHidden/>
    <w:unhideWhenUsed/>
    <w:rsid w:val="00533B69"/>
    <w:pPr>
      <w:spacing w:after="120"/>
      <w:ind w:left="283"/>
    </w:pPr>
  </w:style>
  <w:style w:type="character" w:customStyle="1" w:styleId="BodyTextIndentChar">
    <w:name w:val="Body Text Indent Char"/>
    <w:basedOn w:val="DefaultParagraphFont"/>
    <w:link w:val="BodyTextIndent"/>
    <w:uiPriority w:val="99"/>
    <w:semiHidden/>
    <w:rsid w:val="00533B69"/>
    <w:rPr>
      <w:rFonts w:ascii="Arial" w:hAnsi="Arial"/>
      <w:sz w:val="24"/>
    </w:rPr>
  </w:style>
  <w:style w:type="paragraph" w:customStyle="1" w:styleId="Instructiontext">
    <w:name w:val="Instruction text"/>
    <w:basedOn w:val="Normal"/>
    <w:uiPriority w:val="2"/>
    <w:qFormat/>
    <w:rsid w:val="00D52B8F"/>
    <w:pPr>
      <w:autoSpaceDE w:val="0"/>
      <w:autoSpaceDN w:val="0"/>
      <w:adjustRightInd w:val="0"/>
      <w:jc w:val="both"/>
    </w:pPr>
    <w:rPr>
      <w:rFonts w:cs="Helvetica-Light"/>
      <w:i/>
      <w:color w:val="FF0000"/>
      <w:sz w:val="22"/>
      <w:szCs w:val="22"/>
    </w:rPr>
  </w:style>
  <w:style w:type="character" w:styleId="Hyperlink">
    <w:name w:val="Hyperlink"/>
    <w:basedOn w:val="DefaultParagraphFont"/>
    <w:uiPriority w:val="99"/>
    <w:unhideWhenUsed/>
    <w:rsid w:val="00BF1C96"/>
    <w:rPr>
      <w:color w:val="0000FF" w:themeColor="hyperlink"/>
      <w:u w:val="single"/>
    </w:rPr>
  </w:style>
  <w:style w:type="paragraph" w:styleId="ListParagraph">
    <w:name w:val="List Paragraph"/>
    <w:basedOn w:val="Normal"/>
    <w:uiPriority w:val="34"/>
    <w:qFormat/>
    <w:rsid w:val="0031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51323">
      <w:bodyDiv w:val="1"/>
      <w:marLeft w:val="0"/>
      <w:marRight w:val="0"/>
      <w:marTop w:val="0"/>
      <w:marBottom w:val="0"/>
      <w:divBdr>
        <w:top w:val="none" w:sz="0" w:space="0" w:color="auto"/>
        <w:left w:val="none" w:sz="0" w:space="0" w:color="auto"/>
        <w:bottom w:val="none" w:sz="0" w:space="0" w:color="auto"/>
        <w:right w:val="none" w:sz="0" w:space="0" w:color="auto"/>
      </w:divBdr>
    </w:div>
    <w:div w:id="945231066">
      <w:bodyDiv w:val="1"/>
      <w:marLeft w:val="0"/>
      <w:marRight w:val="0"/>
      <w:marTop w:val="0"/>
      <w:marBottom w:val="0"/>
      <w:divBdr>
        <w:top w:val="none" w:sz="0" w:space="0" w:color="auto"/>
        <w:left w:val="none" w:sz="0" w:space="0" w:color="auto"/>
        <w:bottom w:val="none" w:sz="0" w:space="0" w:color="auto"/>
        <w:right w:val="none" w:sz="0" w:space="0" w:color="auto"/>
      </w:divBdr>
    </w:div>
    <w:div w:id="1297251232">
      <w:bodyDiv w:val="1"/>
      <w:marLeft w:val="0"/>
      <w:marRight w:val="0"/>
      <w:marTop w:val="0"/>
      <w:marBottom w:val="0"/>
      <w:divBdr>
        <w:top w:val="none" w:sz="0" w:space="0" w:color="auto"/>
        <w:left w:val="none" w:sz="0" w:space="0" w:color="auto"/>
        <w:bottom w:val="none" w:sz="0" w:space="0" w:color="auto"/>
        <w:right w:val="none" w:sz="0" w:space="0" w:color="auto"/>
      </w:divBdr>
    </w:div>
    <w:div w:id="1661157522">
      <w:bodyDiv w:val="1"/>
      <w:marLeft w:val="0"/>
      <w:marRight w:val="0"/>
      <w:marTop w:val="0"/>
      <w:marBottom w:val="0"/>
      <w:divBdr>
        <w:top w:val="none" w:sz="0" w:space="0" w:color="auto"/>
        <w:left w:val="none" w:sz="0" w:space="0" w:color="auto"/>
        <w:bottom w:val="none" w:sz="0" w:space="0" w:color="auto"/>
        <w:right w:val="none" w:sz="0" w:space="0" w:color="auto"/>
      </w:divBdr>
    </w:div>
    <w:div w:id="20231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A46A1-7B87-44A2-BAAA-60870F2B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4</Pages>
  <Words>761</Words>
  <Characters>5196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Mather, Chris</cp:lastModifiedBy>
  <cp:revision>3</cp:revision>
  <cp:lastPrinted>2002-09-23T11:55:00Z</cp:lastPrinted>
  <dcterms:created xsi:type="dcterms:W3CDTF">2015-03-16T13:07:00Z</dcterms:created>
  <dcterms:modified xsi:type="dcterms:W3CDTF">2015-03-16T13:09:00Z</dcterms:modified>
</cp:coreProperties>
</file>